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Venture Financing Due Diligence Request List</w:t>
      </w:r>
    </w:p>
    <w:p>
      <w:pPr>
        <w:pStyle w:val="OASectionHeading"/>
      </w:pPr>
      <w:r>
        <w:t xml:space="preserve">Cover Sheet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Requesting Firm</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[Name of the law firm sending the requests for the investors]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company issuing the securities]</w:t>
            </w:r>
          </w:p>
        </w:tc>
      </w:tr>
      <w:tr>
        <w:tc>
          <w:tcPr>
            <w:tcW w:w="3600" w:type="dxa"/>
            <w:tcMar>
              <w:top w:w="60" w:type="dxa"/>
              <w:left w:w="0" w:type="dxa"/>
              <w:bottom w:w="60" w:type="dxa"/>
              <w:right w:w="0" w:type="dxa"/>
            </w:tcMar>
          </w:tcPr>
          <w:p>
            <w:r>
              <w:rPr>
                <w:rFonts w:ascii="Arial" w:hAnsi="Arial" w:cs="Arial"/>
                <w:b/>
                <w:bCs/>
                <w:color w:val="1D2021"/>
                <w:sz w:val="22"/>
                <w:szCs w:val="22"/>
              </w:rPr>
              <w:t xml:space="preserve">Delivery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request list is delivered to the Company]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Response Due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first response is due]</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Company Contact</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[Name of the Company contact for diligence responses]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Due Diligence Request List</w:t>
      </w:r>
    </w:p>
    <w:p>
      <w:pPr>
        <w:pStyle w:val="OABody"/>
        <w:keepNext/>
        <w:numPr>
          <w:ilvl w:val="0"/>
          <w:numId w:val="1"/>
        </w:numPr>
        <w:spacing w:before="320" w:after="120" w:line="340" w:lineRule="auto"/>
        <w:jc w:val="left"/>
      </w:pPr>
      <w:r>
        <w:rPr>
          <w:b/>
          <w:bCs/>
        </w:rPr>
        <w:t xml:space="preserve">Parties</w:t>
      </w:r>
    </w:p>
    <w:p>
      <w:pPr>
        <w:pStyle w:val="OABody"/>
        <w:spacing w:before="0" w:after="120" w:line="340" w:lineRule="auto"/>
        <w:ind w:left="720"/>
      </w:pPr>
      <w:r>
        <w:t xml:space="preserve">"Company" means </w:t>
      </w:r>
      <w:r>
        <w:rPr>
          <w:b/>
          <w:bCs/>
          <w:highlight w:val="yellow"/>
        </w:rPr>
        <w:t xml:space="preserve">[Legal name of the company issuing the securities]</w:t>
      </w:r>
      <w:r>
        <w:t xml:space="preserve">, the company issuing the securities. "Requesting Party" means the investors in this financing and their counsel. These requests concern a priced preferred stock financing.</w:t>
      </w:r>
    </w:p>
    <w:p>
      <w:pPr>
        <w:pStyle w:val="OABody"/>
        <w:keepNext/>
        <w:numPr>
          <w:ilvl w:val="0"/>
          <w:numId w:val="1"/>
        </w:numPr>
        <w:spacing w:before="320" w:after="120" w:line="340" w:lineRule="auto"/>
        <w:jc w:val="left"/>
      </w:pPr>
      <w:r>
        <w:rPr>
          <w:b/>
          <w:bCs/>
        </w:rPr>
        <w:t xml:space="preserve">Instructions</w:t>
      </w:r>
    </w:p>
    <w:p>
      <w:pPr>
        <w:pStyle w:val="OABody"/>
        <w:spacing w:before="0" w:after="120" w:line="340" w:lineRule="auto"/>
        <w:ind w:left="720"/>
      </w:pPr>
      <w:r>
        <w:t xml:space="preserve">The Company should respond to each numbered request and identify documents already provided. Mark a request "Does Not Exist" or "Not Applicable" where appropriate. If circumstances change after a response, promptly notify the Requesting Party and supplement the response with the additional documents needed.</w:t>
      </w:r>
    </w:p>
    <w:p>
      <w:pPr>
        <w:pStyle w:val="OASectionHeading"/>
      </w:pPr>
      <w:r>
        <w:t xml:space="preserve">Section A: Actions and Minutes</w:t>
      </w:r>
    </w:p>
    <w:p>
      <w:pPr>
        <w:pStyle w:val="OABody"/>
        <w:keepNext/>
        <w:numPr>
          <w:ilvl w:val="0"/>
          <w:numId w:val="1"/>
        </w:numPr>
        <w:spacing w:before="320" w:after="120" w:line="340" w:lineRule="auto"/>
        <w:jc w:val="left"/>
      </w:pPr>
      <w:r>
        <w:rPr>
          <w:b/>
          <w:bCs/>
        </w:rPr>
        <w:t xml:space="preserve">A.1 Stockholder records</w:t>
      </w:r>
    </w:p>
    <w:p>
      <w:pPr>
        <w:pStyle w:val="OABody"/>
        <w:spacing w:before="0" w:after="120" w:line="340" w:lineRule="auto"/>
        <w:ind w:left="720"/>
      </w:pPr>
      <w:r>
        <w:t xml:space="preserve">Provide all stockholder meeting minutes and written actions.</w:t>
      </w:r>
    </w:p>
    <w:p>
      <w:pPr>
        <w:pStyle w:val="OABody"/>
        <w:keepNext/>
        <w:numPr>
          <w:ilvl w:val="0"/>
          <w:numId w:val="1"/>
        </w:numPr>
        <w:spacing w:before="320" w:after="120" w:line="340" w:lineRule="auto"/>
        <w:jc w:val="left"/>
      </w:pPr>
      <w:r>
        <w:rPr>
          <w:b/>
          <w:bCs/>
        </w:rPr>
        <w:t xml:space="preserve">A.2 Board and committee records</w:t>
      </w:r>
    </w:p>
    <w:p>
      <w:pPr>
        <w:pStyle w:val="OABody"/>
        <w:spacing w:before="0" w:after="120" w:line="340" w:lineRule="auto"/>
        <w:ind w:left="720"/>
      </w:pPr>
      <w:r>
        <w:t xml:space="preserve">Provide the minutes and written consents of the board and its committees since incorporation.</w:t>
      </w:r>
    </w:p>
    <w:p>
      <w:pPr>
        <w:pStyle w:val="OASectionHeading"/>
      </w:pPr>
      <w:r>
        <w:t xml:space="preserve">Section B: Charter Documents</w:t>
      </w:r>
    </w:p>
    <w:p>
      <w:pPr>
        <w:pStyle w:val="OABody"/>
        <w:keepNext/>
        <w:numPr>
          <w:ilvl w:val="0"/>
          <w:numId w:val="1"/>
        </w:numPr>
        <w:spacing w:before="320" w:after="120" w:line="340" w:lineRule="auto"/>
        <w:jc w:val="left"/>
      </w:pPr>
      <w:r>
        <w:rPr>
          <w:b/>
          <w:bCs/>
        </w:rPr>
        <w:t xml:space="preserve">B.1 Certificate of incorporation</w:t>
      </w:r>
    </w:p>
    <w:p>
      <w:pPr>
        <w:pStyle w:val="OABody"/>
        <w:spacing w:before="0" w:after="120" w:line="340" w:lineRule="auto"/>
        <w:ind w:left="720"/>
      </w:pPr>
      <w:r>
        <w:t xml:space="preserve">Provide the current certificate or articles of incorporation and all amendments.</w:t>
      </w:r>
    </w:p>
    <w:p>
      <w:pPr>
        <w:pStyle w:val="OABody"/>
        <w:keepNext/>
        <w:numPr>
          <w:ilvl w:val="0"/>
          <w:numId w:val="1"/>
        </w:numPr>
        <w:spacing w:before="320" w:after="120" w:line="340" w:lineRule="auto"/>
        <w:jc w:val="left"/>
      </w:pPr>
      <w:r>
        <w:rPr>
          <w:b/>
          <w:bCs/>
        </w:rPr>
        <w:t xml:space="preserve">B.2 Bylaws</w:t>
      </w:r>
    </w:p>
    <w:p>
      <w:pPr>
        <w:pStyle w:val="OABody"/>
        <w:spacing w:before="0" w:after="120" w:line="340" w:lineRule="auto"/>
        <w:ind w:left="720"/>
      </w:pPr>
      <w:r>
        <w:t xml:space="preserve">Provide the current bylaws.</w:t>
      </w:r>
    </w:p>
    <w:p>
      <w:pPr>
        <w:pStyle w:val="OASectionHeading"/>
      </w:pPr>
      <w:r>
        <w:t xml:space="preserve">Section C: Capital Stock</w:t>
      </w:r>
    </w:p>
    <w:p>
      <w:pPr>
        <w:pStyle w:val="OABody"/>
        <w:keepNext/>
        <w:numPr>
          <w:ilvl w:val="0"/>
          <w:numId w:val="1"/>
        </w:numPr>
        <w:spacing w:before="320" w:after="120" w:line="340" w:lineRule="auto"/>
        <w:jc w:val="left"/>
      </w:pPr>
      <w:r>
        <w:rPr>
          <w:b/>
          <w:bCs/>
        </w:rPr>
        <w:t xml:space="preserve">C.1 Capitalization</w:t>
      </w:r>
    </w:p>
    <w:p>
      <w:pPr>
        <w:pStyle w:val="OABody"/>
        <w:spacing w:before="0" w:after="120" w:line="340" w:lineRule="auto"/>
        <w:ind w:left="720"/>
      </w:pPr>
      <w:r>
        <w:t xml:space="preserve">Provide a capitalization summary showing outstanding shares, convertible securities, options, warrants and similar instruments.</w:t>
      </w:r>
    </w:p>
    <w:p>
      <w:pPr>
        <w:pStyle w:val="OABody"/>
        <w:keepNext/>
        <w:numPr>
          <w:ilvl w:val="0"/>
          <w:numId w:val="1"/>
        </w:numPr>
        <w:spacing w:before="320" w:after="120" w:line="340" w:lineRule="auto"/>
        <w:jc w:val="left"/>
      </w:pPr>
      <w:r>
        <w:rPr>
          <w:b/>
          <w:bCs/>
        </w:rPr>
        <w:t xml:space="preserve">C.2 Security holders</w:t>
      </w:r>
    </w:p>
    <w:p>
      <w:pPr>
        <w:pStyle w:val="OABody"/>
        <w:spacing w:before="0" w:after="120" w:line="340" w:lineRule="auto"/>
        <w:ind w:left="720"/>
      </w:pPr>
      <w:r>
        <w:t xml:space="preserve">Provide stockholder, optionholder and warrantholder lists showing issuance dates, original issuance prices, and the class and number of securities held, together with issuance agreements.</w:t>
      </w:r>
    </w:p>
    <w:p>
      <w:pPr>
        <w:pStyle w:val="OABody"/>
        <w:keepNext/>
        <w:numPr>
          <w:ilvl w:val="0"/>
          <w:numId w:val="1"/>
        </w:numPr>
        <w:spacing w:before="320" w:after="120" w:line="340" w:lineRule="auto"/>
        <w:jc w:val="left"/>
      </w:pPr>
      <w:r>
        <w:rPr>
          <w:b/>
          <w:bCs/>
        </w:rPr>
        <w:t xml:space="preserve">C.3 Equity plans</w:t>
      </w:r>
    </w:p>
    <w:p>
      <w:pPr>
        <w:pStyle w:val="OABody"/>
        <w:spacing w:before="0" w:after="120" w:line="340" w:lineRule="auto"/>
        <w:ind w:left="720"/>
      </w:pPr>
      <w:r>
        <w:t xml:space="preserve">Provide equity incentive plans and the forms used for grants under those plans.</w:t>
      </w:r>
    </w:p>
    <w:p>
      <w:pPr>
        <w:pStyle w:val="OABody"/>
        <w:keepNext/>
        <w:numPr>
          <w:ilvl w:val="0"/>
          <w:numId w:val="1"/>
        </w:numPr>
        <w:spacing w:before="320" w:after="120" w:line="340" w:lineRule="auto"/>
        <w:jc w:val="left"/>
      </w:pPr>
      <w:r>
        <w:rPr>
          <w:b/>
          <w:bCs/>
        </w:rPr>
        <w:t xml:space="preserve">C.4 Convertible instruments</w:t>
      </w:r>
    </w:p>
    <w:p>
      <w:pPr>
        <w:pStyle w:val="OABody"/>
        <w:spacing w:before="0" w:after="120" w:line="340" w:lineRule="auto"/>
        <w:ind w:left="720"/>
      </w:pPr>
      <w:r>
        <w:t xml:space="preserve">Provide signed simple agreements for future equity (SAFEs), convertible notes, warrants and other convertible instruments, including amendments and side letters. If none exist, indicate that in the response.</w:t>
      </w:r>
    </w:p>
    <w:p>
      <w:pPr>
        <w:pStyle w:val="OABody"/>
        <w:keepNext/>
        <w:numPr>
          <w:ilvl w:val="0"/>
          <w:numId w:val="1"/>
        </w:numPr>
        <w:spacing w:before="320" w:after="120" w:line="340" w:lineRule="auto"/>
        <w:jc w:val="left"/>
      </w:pPr>
      <w:r>
        <w:rPr>
          <w:b/>
          <w:bCs/>
        </w:rPr>
        <w:t xml:space="preserve">C.5 Stockholder rights</w:t>
      </w:r>
    </w:p>
    <w:p>
      <w:pPr>
        <w:pStyle w:val="OABody"/>
        <w:spacing w:before="0" w:after="120" w:line="340" w:lineRule="auto"/>
        <w:ind w:left="720"/>
      </w:pPr>
      <w:r>
        <w:t xml:space="preserve">Provide agreements covering voting, share transfers, registration, preemptive rights, and rights of first offer or refusal.</w:t>
      </w:r>
    </w:p>
    <w:p>
      <w:pPr>
        <w:pStyle w:val="OABody"/>
        <w:keepNext/>
        <w:numPr>
          <w:ilvl w:val="0"/>
          <w:numId w:val="1"/>
        </w:numPr>
        <w:spacing w:before="320" w:after="120" w:line="340" w:lineRule="auto"/>
        <w:jc w:val="left"/>
      </w:pPr>
      <w:r>
        <w:rPr>
          <w:b/>
          <w:bCs/>
        </w:rPr>
        <w:t xml:space="preserve">C.6 Stock transactions and vesting</w:t>
      </w:r>
    </w:p>
    <w:p>
      <w:pPr>
        <w:pStyle w:val="OABody"/>
        <w:spacing w:before="0" w:after="120" w:line="340" w:lineRule="auto"/>
        <w:ind w:left="720"/>
      </w:pPr>
      <w:r>
        <w:t xml:space="preserve">Provide stock purchase, repurchase, sale and issuance agreements, including founder stock purchase agreements, and summarize vesting schedules for stock and options subject to vesting.</w:t>
      </w:r>
    </w:p>
    <w:p>
      <w:pPr>
        <w:pStyle w:val="OABody"/>
        <w:keepNext/>
        <w:numPr>
          <w:ilvl w:val="0"/>
          <w:numId w:val="1"/>
        </w:numPr>
        <w:spacing w:before="320" w:after="120" w:line="340" w:lineRule="auto"/>
        <w:jc w:val="left"/>
      </w:pPr>
      <w:r>
        <w:rPr>
          <w:b/>
          <w:bCs/>
        </w:rPr>
        <w:t xml:space="preserve">C.7 Securities compliance</w:t>
      </w:r>
    </w:p>
    <w:p>
      <w:pPr>
        <w:pStyle w:val="OABody"/>
        <w:spacing w:before="0" w:after="120" w:line="340" w:lineRule="auto"/>
        <w:ind w:left="720"/>
      </w:pPr>
      <w:r>
        <w:t xml:space="preserve">Provide evidence of qualification or exemption under federal and state securities laws for prior issuances and transfers.</w:t>
      </w:r>
    </w:p>
    <w:p>
      <w:pPr>
        <w:pStyle w:val="OABody"/>
        <w:keepNext/>
        <w:numPr>
          <w:ilvl w:val="0"/>
          <w:numId w:val="1"/>
        </w:numPr>
        <w:spacing w:before="320" w:after="120" w:line="340" w:lineRule="auto"/>
        <w:jc w:val="left"/>
      </w:pPr>
      <w:r>
        <w:rPr>
          <w:b/>
          <w:bCs/>
        </w:rPr>
        <w:t xml:space="preserve">C.8 Equity promises</w:t>
      </w:r>
    </w:p>
    <w:p>
      <w:pPr>
        <w:pStyle w:val="OABody"/>
        <w:spacing w:before="0" w:after="120" w:line="340" w:lineRule="auto"/>
        <w:ind w:left="720"/>
      </w:pPr>
      <w:r>
        <w:t xml:space="preserve">Identify equity promises to officers, employees, directors or consultants that differ from the share amounts or terms recorded in board minutes or written consents.</w:t>
      </w:r>
    </w:p>
    <w:p>
      <w:pPr>
        <w:pStyle w:val="OABody"/>
        <w:keepNext/>
        <w:numPr>
          <w:ilvl w:val="0"/>
          <w:numId w:val="1"/>
        </w:numPr>
        <w:spacing w:before="320" w:after="120" w:line="340" w:lineRule="auto"/>
        <w:jc w:val="left"/>
      </w:pPr>
      <w:r>
        <w:rPr>
          <w:b/>
          <w:bCs/>
        </w:rPr>
        <w:t xml:space="preserve">C.9 Agreements among stockholders</w:t>
      </w:r>
    </w:p>
    <w:p>
      <w:pPr>
        <w:pStyle w:val="OABody"/>
        <w:spacing w:before="0" w:after="120" w:line="340" w:lineRule="auto"/>
        <w:ind w:left="720"/>
      </w:pPr>
      <w:r>
        <w:t xml:space="preserve">Provide agreements among stockholders to which the Company is not a party that address the sale, voting or transfer of Company securities.</w:t>
      </w:r>
    </w:p>
    <w:p>
      <w:pPr>
        <w:pStyle w:val="OABody"/>
        <w:keepNext/>
        <w:numPr>
          <w:ilvl w:val="0"/>
          <w:numId w:val="1"/>
        </w:numPr>
        <w:spacing w:before="320" w:after="120" w:line="340" w:lineRule="auto"/>
        <w:jc w:val="left"/>
      </w:pPr>
      <w:r>
        <w:rPr>
          <w:b/>
          <w:bCs/>
        </w:rPr>
        <w:t xml:space="preserve">C.10 Section 83(b) elections</w:t>
      </w:r>
    </w:p>
    <w:p>
      <w:pPr>
        <w:pStyle w:val="OABody"/>
        <w:spacing w:before="0" w:after="120" w:line="340" w:lineRule="auto"/>
        <w:ind w:left="720"/>
      </w:pPr>
      <w:r>
        <w:t xml:space="preserve">Provide copies of Section 83(b) elections and evidence of timely filing for restricted stock subject to vesting.</w:t>
      </w:r>
    </w:p>
    <w:p>
      <w:pPr>
        <w:pStyle w:val="OABody"/>
        <w:keepNext/>
        <w:numPr>
          <w:ilvl w:val="0"/>
          <w:numId w:val="1"/>
        </w:numPr>
        <w:spacing w:before="320" w:after="120" w:line="340" w:lineRule="auto"/>
        <w:jc w:val="left"/>
      </w:pPr>
      <w:r>
        <w:rPr>
          <w:b/>
          <w:bCs/>
        </w:rPr>
        <w:t xml:space="preserve">C.11 Section 409A valuations</w:t>
      </w:r>
    </w:p>
    <w:p>
      <w:pPr>
        <w:pStyle w:val="OABody"/>
        <w:spacing w:before="0" w:after="120" w:line="340" w:lineRule="auto"/>
        <w:ind w:left="720"/>
      </w:pPr>
      <w:r>
        <w:t xml:space="preserve">Provide all Section 409A valuation reports.</w:t>
      </w:r>
    </w:p>
    <w:p>
      <w:pPr>
        <w:pStyle w:val="OABody"/>
        <w:keepNext/>
        <w:numPr>
          <w:ilvl w:val="0"/>
          <w:numId w:val="1"/>
        </w:numPr>
        <w:spacing w:before="320" w:after="120" w:line="340" w:lineRule="auto"/>
        <w:jc w:val="left"/>
      </w:pPr>
      <w:r>
        <w:rPr>
          <w:b/>
          <w:bCs/>
        </w:rPr>
        <w:t xml:space="preserve">C.12 Conversion schedule</w:t>
      </w:r>
    </w:p>
    <w:p>
      <w:pPr>
        <w:pStyle w:val="OABody"/>
        <w:spacing w:before="0" w:after="120" w:line="340" w:lineRule="auto"/>
        <w:ind w:left="720"/>
      </w:pPr>
      <w:r>
        <w:t xml:space="preserve">Provide a holder-by-holder schedule of convertible securities converting in this financing, showing the outstanding amount, conversion price, and resulting number and class of shares for each holder. Identify any proposed amendments needed for conversion.</w:t>
      </w:r>
    </w:p>
    <w:p>
      <w:pPr>
        <w:pStyle w:val="OASectionHeading"/>
      </w:pPr>
      <w:r>
        <w:t xml:space="preserve">Section D: Legal and Regulatory</w:t>
      </w:r>
    </w:p>
    <w:p>
      <w:pPr>
        <w:pStyle w:val="OABody"/>
        <w:keepNext/>
        <w:numPr>
          <w:ilvl w:val="0"/>
          <w:numId w:val="1"/>
        </w:numPr>
        <w:spacing w:before="320" w:after="120" w:line="340" w:lineRule="auto"/>
        <w:jc w:val="left"/>
      </w:pPr>
      <w:r>
        <w:rPr>
          <w:b/>
          <w:bCs/>
        </w:rPr>
        <w:t xml:space="preserve">D.1 Litigation and disputes</w:t>
      </w:r>
    </w:p>
    <w:p>
      <w:pPr>
        <w:pStyle w:val="OABody"/>
        <w:spacing w:before="0" w:after="120" w:line="340" w:lineRule="auto"/>
        <w:ind w:left="720"/>
      </w:pPr>
      <w:r>
        <w:t xml:space="preserve">Provide documents and correspondence concerning pending or threatened litigation, or disputes that could lead to litigation, involving the Company, its executive officers or directors.</w:t>
      </w:r>
    </w:p>
    <w:p>
      <w:pPr>
        <w:pStyle w:val="OABody"/>
        <w:keepNext/>
        <w:numPr>
          <w:ilvl w:val="0"/>
          <w:numId w:val="1"/>
        </w:numPr>
        <w:spacing w:before="320" w:after="120" w:line="340" w:lineRule="auto"/>
        <w:jc w:val="left"/>
      </w:pPr>
      <w:r>
        <w:rPr>
          <w:b/>
          <w:bCs/>
        </w:rPr>
        <w:t xml:space="preserve">D.2 Orders and settlements</w:t>
      </w:r>
    </w:p>
    <w:p>
      <w:pPr>
        <w:pStyle w:val="OABody"/>
        <w:spacing w:before="0" w:after="120" w:line="340" w:lineRule="auto"/>
        <w:ind w:left="720"/>
      </w:pPr>
      <w:r>
        <w:t xml:space="preserve">Provide settlement agreements, consent decrees, injunctions, judgments and other orders.</w:t>
      </w:r>
    </w:p>
    <w:p>
      <w:pPr>
        <w:pStyle w:val="OASectionHeading"/>
      </w:pPr>
      <w:r>
        <w:t xml:space="preserve">Section E: Intellectual Property</w:t>
      </w:r>
    </w:p>
    <w:p>
      <w:pPr>
        <w:pStyle w:val="OABody"/>
        <w:keepNext/>
        <w:numPr>
          <w:ilvl w:val="0"/>
          <w:numId w:val="1"/>
        </w:numPr>
        <w:spacing w:before="320" w:after="120" w:line="340" w:lineRule="auto"/>
        <w:jc w:val="left"/>
      </w:pPr>
      <w:r>
        <w:rPr>
          <w:b/>
          <w:bCs/>
        </w:rPr>
        <w:t xml:space="preserve">E.1 Invention and confidentiality forms</w:t>
      </w:r>
    </w:p>
    <w:p>
      <w:pPr>
        <w:pStyle w:val="OABody"/>
        <w:spacing w:before="0" w:after="120" w:line="340" w:lineRule="auto"/>
        <w:ind w:left="720"/>
      </w:pPr>
      <w:r>
        <w:t xml:space="preserve">Provide the proprietary information and inventions agreement forms used with current and former employees and consultants.</w:t>
      </w:r>
    </w:p>
    <w:p>
      <w:pPr>
        <w:pStyle w:val="OABody"/>
        <w:keepNext/>
        <w:numPr>
          <w:ilvl w:val="0"/>
          <w:numId w:val="1"/>
        </w:numPr>
        <w:spacing w:before="320" w:after="120" w:line="340" w:lineRule="auto"/>
        <w:jc w:val="left"/>
      </w:pPr>
      <w:r>
        <w:rPr>
          <w:b/>
          <w:bCs/>
        </w:rPr>
        <w:t xml:space="preserve">E.2 Signed agreements and gaps</w:t>
      </w:r>
    </w:p>
    <w:p>
      <w:pPr>
        <w:pStyle w:val="OABody"/>
        <w:spacing w:before="0" w:after="120" w:line="340" w:lineRule="auto"/>
        <w:ind w:left="720"/>
      </w:pPr>
      <w:r>
        <w:t xml:space="preserve">Provide signed proprietary information and inventions agreements for key employees and consultants. List employees and consultants who have not signed, including periods when key employees or consultants worked without an agreement.</w:t>
      </w:r>
    </w:p>
    <w:p>
      <w:pPr>
        <w:pStyle w:val="OABody"/>
        <w:keepNext/>
        <w:numPr>
          <w:ilvl w:val="0"/>
          <w:numId w:val="1"/>
        </w:numPr>
        <w:spacing w:before="320" w:after="120" w:line="340" w:lineRule="auto"/>
        <w:jc w:val="left"/>
      </w:pPr>
      <w:r>
        <w:rPr>
          <w:b/>
          <w:bCs/>
        </w:rPr>
        <w:t xml:space="preserve">E.3 Excluded inventions</w:t>
      </w:r>
    </w:p>
    <w:p>
      <w:pPr>
        <w:pStyle w:val="OABody"/>
        <w:spacing w:before="0" w:after="120" w:line="340" w:lineRule="auto"/>
        <w:ind w:left="720"/>
      </w:pPr>
      <w:r>
        <w:t xml:space="preserve">Provide proprietary information and inventions agreements that exclude any inventions or other rights from assignment to the Company.</w:t>
      </w:r>
    </w:p>
    <w:p>
      <w:pPr>
        <w:pStyle w:val="OABody"/>
        <w:keepNext/>
        <w:numPr>
          <w:ilvl w:val="0"/>
          <w:numId w:val="1"/>
        </w:numPr>
        <w:spacing w:before="320" w:after="120" w:line="340" w:lineRule="auto"/>
        <w:jc w:val="left"/>
      </w:pPr>
      <w:r>
        <w:rPr>
          <w:b/>
          <w:bCs/>
        </w:rPr>
        <w:t xml:space="preserve">E.4 Technology transfers and development</w:t>
      </w:r>
    </w:p>
    <w:p>
      <w:pPr>
        <w:pStyle w:val="OABody"/>
        <w:spacing w:before="0" w:after="120" w:line="340" w:lineRule="auto"/>
        <w:ind w:left="720"/>
      </w:pPr>
      <w:r>
        <w:t xml:space="preserve">Provide documents transferring technology to the Company and agreements for technology development or purchases.</w:t>
      </w:r>
    </w:p>
    <w:p>
      <w:pPr>
        <w:pStyle w:val="OABody"/>
        <w:keepNext/>
        <w:numPr>
          <w:ilvl w:val="0"/>
          <w:numId w:val="1"/>
        </w:numPr>
        <w:spacing w:before="320" w:after="120" w:line="340" w:lineRule="auto"/>
        <w:jc w:val="left"/>
      </w:pPr>
      <w:r>
        <w:rPr>
          <w:b/>
          <w:bCs/>
        </w:rPr>
        <w:t xml:space="preserve">E.5 Licenses and technology agreements</w:t>
      </w:r>
    </w:p>
    <w:p>
      <w:pPr>
        <w:pStyle w:val="OABody"/>
        <w:spacing w:before="0" w:after="120" w:line="340" w:lineRule="auto"/>
        <w:ind w:left="720"/>
      </w:pPr>
      <w:r>
        <w:t xml:space="preserve">Provide agreements concerning the Company’s or others’ patents, copyrights, trade secrets, proprietary information or technology, excluding agreements for standard or off-the-shelf products.</w:t>
      </w:r>
    </w:p>
    <w:p>
      <w:pPr>
        <w:pStyle w:val="OABody"/>
        <w:keepNext/>
        <w:numPr>
          <w:ilvl w:val="0"/>
          <w:numId w:val="1"/>
        </w:numPr>
        <w:spacing w:before="320" w:after="120" w:line="340" w:lineRule="auto"/>
        <w:jc w:val="left"/>
      </w:pPr>
      <w:r>
        <w:rPr>
          <w:b/>
          <w:bCs/>
        </w:rPr>
        <w:t xml:space="preserve">E.6 Intellectual property lists and searches</w:t>
      </w:r>
    </w:p>
    <w:p>
      <w:pPr>
        <w:pStyle w:val="OABody"/>
        <w:spacing w:before="0" w:after="120" w:line="340" w:lineRule="auto"/>
        <w:ind w:left="720"/>
      </w:pPr>
      <w:r>
        <w:t xml:space="preserve">List patents, copyrights and trademarks, and provide any searches performed concerning them.</w:t>
      </w:r>
    </w:p>
    <w:p>
      <w:pPr>
        <w:pStyle w:val="OASectionHeading"/>
      </w:pPr>
      <w:r>
        <w:t xml:space="preserve">Section F: Management, Employees and Consultants</w:t>
      </w:r>
    </w:p>
    <w:p>
      <w:pPr>
        <w:pStyle w:val="OABody"/>
        <w:keepNext/>
        <w:numPr>
          <w:ilvl w:val="0"/>
          <w:numId w:val="1"/>
        </w:numPr>
        <w:spacing w:before="320" w:after="120" w:line="340" w:lineRule="auto"/>
        <w:jc w:val="left"/>
      </w:pPr>
      <w:r>
        <w:rPr>
          <w:b/>
          <w:bCs/>
        </w:rPr>
        <w:t xml:space="preserve">F.1 Related-party arrangements</w:t>
      </w:r>
    </w:p>
    <w:p>
      <w:pPr>
        <w:pStyle w:val="OABody"/>
        <w:spacing w:before="0" w:after="120" w:line="340" w:lineRule="auto"/>
        <w:ind w:left="720"/>
      </w:pPr>
      <w:r>
        <w:t xml:space="preserve">Provide agreements, understandings and proposed transactions between the Company and its employees, officers, directors or affiliates, or their affiliates, including employment and indemnification agreements, loans and guarantees.</w:t>
      </w:r>
    </w:p>
    <w:p>
      <w:pPr>
        <w:pStyle w:val="OABody"/>
        <w:keepNext/>
        <w:numPr>
          <w:ilvl w:val="0"/>
          <w:numId w:val="1"/>
        </w:numPr>
        <w:spacing w:before="320" w:after="120" w:line="340" w:lineRule="auto"/>
        <w:jc w:val="left"/>
      </w:pPr>
      <w:r>
        <w:rPr>
          <w:b/>
          <w:bCs/>
        </w:rPr>
        <w:t xml:space="preserve">F.2 Employment and consulting documents</w:t>
      </w:r>
    </w:p>
    <w:p>
      <w:pPr>
        <w:pStyle w:val="OABody"/>
        <w:spacing w:before="0" w:after="120" w:line="340" w:lineRule="auto"/>
        <w:ind w:left="720"/>
      </w:pPr>
      <w:r>
        <w:t xml:space="preserve">Provide employment, consulting and independent contractor agreements, and offer letters.</w:t>
      </w:r>
    </w:p>
    <w:p>
      <w:pPr>
        <w:pStyle w:val="OABody"/>
        <w:keepNext/>
        <w:numPr>
          <w:ilvl w:val="0"/>
          <w:numId w:val="1"/>
        </w:numPr>
        <w:spacing w:before="320" w:after="120" w:line="340" w:lineRule="auto"/>
        <w:jc w:val="left"/>
      </w:pPr>
      <w:r>
        <w:rPr>
          <w:b/>
          <w:bCs/>
        </w:rPr>
        <w:t xml:space="preserve">F.3 Benefits and compensation plans</w:t>
      </w:r>
    </w:p>
    <w:p>
      <w:pPr>
        <w:pStyle w:val="OABody"/>
        <w:spacing w:before="0" w:after="120" w:line="340" w:lineRule="auto"/>
        <w:ind w:left="720"/>
      </w:pPr>
      <w:r>
        <w:t xml:space="preserve">Provide employee benefit, profit-sharing, deferred compensation and bonus plans or arrangements. Provide equity plans and grant forms under C.3.</w:t>
      </w:r>
    </w:p>
    <w:p>
      <w:pPr>
        <w:pStyle w:val="OABody"/>
        <w:keepNext/>
        <w:numPr>
          <w:ilvl w:val="0"/>
          <w:numId w:val="1"/>
        </w:numPr>
        <w:spacing w:before="320" w:after="120" w:line="340" w:lineRule="auto"/>
        <w:jc w:val="left"/>
      </w:pPr>
      <w:r>
        <w:rPr>
          <w:b/>
          <w:bCs/>
        </w:rPr>
        <w:t xml:space="preserve">F.4 Officers and directors</w:t>
      </w:r>
    </w:p>
    <w:p>
      <w:pPr>
        <w:pStyle w:val="OABody"/>
        <w:spacing w:before="0" w:after="120" w:line="340" w:lineRule="auto"/>
        <w:ind w:left="720"/>
      </w:pPr>
      <w:r>
        <w:t xml:space="preserve">List the current officers and directors. Identify officers who devote less than all of their business time to the Company.</w:t>
      </w:r>
    </w:p>
    <w:p>
      <w:pPr>
        <w:pStyle w:val="OABody"/>
        <w:keepNext/>
        <w:numPr>
          <w:ilvl w:val="0"/>
          <w:numId w:val="1"/>
        </w:numPr>
        <w:spacing w:before="320" w:after="120" w:line="340" w:lineRule="auto"/>
        <w:jc w:val="left"/>
      </w:pPr>
      <w:r>
        <w:rPr>
          <w:b/>
          <w:bCs/>
        </w:rPr>
        <w:t xml:space="preserve">F.5 Accrued compensation and expenses</w:t>
      </w:r>
    </w:p>
    <w:p>
      <w:pPr>
        <w:pStyle w:val="OABody"/>
        <w:spacing w:before="0" w:after="120" w:line="340" w:lineRule="auto"/>
        <w:ind w:left="720"/>
      </w:pPr>
      <w:r>
        <w:t xml:space="preserve">Provide a breakdown of unpaid accrued salary, paid time off and reimbursable expenses.</w:t>
      </w:r>
    </w:p>
    <w:p>
      <w:pPr>
        <w:pStyle w:val="OASectionHeading"/>
      </w:pPr>
      <w:r>
        <w:t xml:space="preserve">Section G: Debt Financing</w:t>
      </w:r>
    </w:p>
    <w:p>
      <w:pPr>
        <w:pStyle w:val="OABody"/>
        <w:keepNext/>
        <w:numPr>
          <w:ilvl w:val="0"/>
          <w:numId w:val="1"/>
        </w:numPr>
        <w:spacing w:before="320" w:after="120" w:line="340" w:lineRule="auto"/>
        <w:jc w:val="left"/>
      </w:pPr>
      <w:r>
        <w:rPr>
          <w:b/>
          <w:bCs/>
        </w:rPr>
        <w:t xml:space="preserve">G.1 Debt documents</w:t>
      </w:r>
    </w:p>
    <w:p>
      <w:pPr>
        <w:pStyle w:val="OABody"/>
        <w:spacing w:before="0" w:after="120" w:line="340" w:lineRule="auto"/>
        <w:ind w:left="720"/>
      </w:pPr>
      <w:r>
        <w:t xml:space="preserve">Provide all debt instruments and credit agreements currently in effect, including lease financing.</w:t>
      </w:r>
    </w:p>
    <w:p>
      <w:pPr>
        <w:pStyle w:val="OABody"/>
        <w:keepNext/>
        <w:numPr>
          <w:ilvl w:val="0"/>
          <w:numId w:val="1"/>
        </w:numPr>
        <w:spacing w:before="320" w:after="120" w:line="340" w:lineRule="auto"/>
        <w:jc w:val="left"/>
      </w:pPr>
      <w:r>
        <w:rPr>
          <w:b/>
          <w:bCs/>
        </w:rPr>
        <w:t xml:space="preserve">G.2 Guarantees</w:t>
      </w:r>
    </w:p>
    <w:p>
      <w:pPr>
        <w:pStyle w:val="OABody"/>
        <w:spacing w:before="0" w:after="120" w:line="340" w:lineRule="auto"/>
        <w:ind w:left="720"/>
      </w:pPr>
      <w:r>
        <w:t xml:space="preserve">Provide guarantees of obligations owed by third parties.</w:t>
      </w:r>
    </w:p>
    <w:p>
      <w:pPr>
        <w:pStyle w:val="OASectionHeading"/>
      </w:pPr>
      <w:r>
        <w:t xml:space="preserve">Section H: Other Agreements</w:t>
      </w:r>
    </w:p>
    <w:p>
      <w:pPr>
        <w:pStyle w:val="OABody"/>
        <w:keepNext/>
        <w:numPr>
          <w:ilvl w:val="0"/>
          <w:numId w:val="1"/>
        </w:numPr>
        <w:spacing w:before="320" w:after="120" w:line="340" w:lineRule="auto"/>
        <w:jc w:val="left"/>
      </w:pPr>
      <w:r>
        <w:rPr>
          <w:b/>
          <w:bCs/>
        </w:rPr>
        <w:t xml:space="preserve">H.1 Property leases</w:t>
      </w:r>
    </w:p>
    <w:p>
      <w:pPr>
        <w:pStyle w:val="OABody"/>
        <w:spacing w:before="0" w:after="120" w:line="340" w:lineRule="auto"/>
        <w:ind w:left="720"/>
      </w:pPr>
      <w:r>
        <w:t xml:space="preserve">Provide real property leases with amendments and exhibits.</w:t>
      </w:r>
    </w:p>
    <w:p>
      <w:pPr>
        <w:pStyle w:val="OABody"/>
        <w:keepNext/>
        <w:numPr>
          <w:ilvl w:val="0"/>
          <w:numId w:val="1"/>
        </w:numPr>
        <w:spacing w:before="320" w:after="120" w:line="340" w:lineRule="auto"/>
        <w:jc w:val="left"/>
      </w:pPr>
      <w:r>
        <w:rPr>
          <w:b/>
          <w:bCs/>
        </w:rPr>
        <w:t xml:space="preserve">H.2 Capital leases</w:t>
      </w:r>
    </w:p>
    <w:p>
      <w:pPr>
        <w:pStyle w:val="OABody"/>
        <w:spacing w:before="0" w:after="120" w:line="340" w:lineRule="auto"/>
        <w:ind w:left="720"/>
      </w:pPr>
      <w:r>
        <w:t xml:space="preserve">Provide agreements for capital leases.</w:t>
      </w:r>
    </w:p>
    <w:p>
      <w:pPr>
        <w:pStyle w:val="OABody"/>
        <w:keepNext/>
        <w:numPr>
          <w:ilvl w:val="0"/>
          <w:numId w:val="1"/>
        </w:numPr>
        <w:spacing w:before="320" w:after="120" w:line="340" w:lineRule="auto"/>
        <w:jc w:val="left"/>
      </w:pPr>
      <w:r>
        <w:rPr>
          <w:b/>
          <w:bCs/>
        </w:rPr>
        <w:t xml:space="preserve">H.3 Standard forms</w:t>
      </w:r>
    </w:p>
    <w:p>
      <w:pPr>
        <w:pStyle w:val="OABody"/>
        <w:spacing w:before="0" w:after="120" w:line="340" w:lineRule="auto"/>
        <w:ind w:left="720"/>
      </w:pPr>
      <w:r>
        <w:t xml:space="preserve">Provide the Company’s standard agreement forms.</w:t>
      </w:r>
    </w:p>
    <w:p>
      <w:pPr>
        <w:pStyle w:val="OABody"/>
        <w:keepNext/>
        <w:numPr>
          <w:ilvl w:val="0"/>
          <w:numId w:val="1"/>
        </w:numPr>
        <w:spacing w:before="320" w:after="120" w:line="340" w:lineRule="auto"/>
        <w:jc w:val="left"/>
      </w:pPr>
      <w:r>
        <w:rPr>
          <w:b/>
          <w:bCs/>
        </w:rPr>
        <w:t xml:space="preserve">H.4 Joint ventures and partnerships</w:t>
      </w:r>
    </w:p>
    <w:p>
      <w:pPr>
        <w:pStyle w:val="OABody"/>
        <w:spacing w:before="0" w:after="120" w:line="340" w:lineRule="auto"/>
        <w:ind w:left="720"/>
      </w:pPr>
      <w:r>
        <w:t xml:space="preserve">Provide agreements for joint ventures and partnerships.</w:t>
      </w:r>
    </w:p>
    <w:p>
      <w:pPr>
        <w:pStyle w:val="OABody"/>
        <w:keepNext/>
        <w:numPr>
          <w:ilvl w:val="0"/>
          <w:numId w:val="1"/>
        </w:numPr>
        <w:spacing w:before="320" w:after="120" w:line="340" w:lineRule="auto"/>
        <w:jc w:val="left"/>
      </w:pPr>
      <w:r>
        <w:rPr>
          <w:b/>
          <w:bCs/>
        </w:rPr>
        <w:t xml:space="preserve">H.5 Management, services and marketing</w:t>
      </w:r>
    </w:p>
    <w:p>
      <w:pPr>
        <w:pStyle w:val="OABody"/>
        <w:spacing w:before="0" w:after="120" w:line="340" w:lineRule="auto"/>
        <w:ind w:left="720"/>
      </w:pPr>
      <w:r>
        <w:t xml:space="preserve">Provide agreements for management, services and marketing.</w:t>
      </w:r>
    </w:p>
    <w:p>
      <w:pPr>
        <w:pStyle w:val="OABody"/>
        <w:keepNext/>
        <w:numPr>
          <w:ilvl w:val="0"/>
          <w:numId w:val="1"/>
        </w:numPr>
        <w:spacing w:before="320" w:after="120" w:line="340" w:lineRule="auto"/>
        <w:jc w:val="left"/>
      </w:pPr>
      <w:r>
        <w:rPr>
          <w:b/>
          <w:bCs/>
        </w:rPr>
        <w:t xml:space="preserve">H.6 Confidentiality</w:t>
      </w:r>
    </w:p>
    <w:p>
      <w:pPr>
        <w:pStyle w:val="OABody"/>
        <w:spacing w:before="0" w:after="120" w:line="340" w:lineRule="auto"/>
        <w:ind w:left="720"/>
      </w:pPr>
      <w:r>
        <w:t xml:space="preserve">Provide confidentiality and nondisclosure agreements.</w:t>
      </w:r>
    </w:p>
    <w:p>
      <w:pPr>
        <w:pStyle w:val="OABody"/>
        <w:keepNext/>
        <w:numPr>
          <w:ilvl w:val="0"/>
          <w:numId w:val="1"/>
        </w:numPr>
        <w:spacing w:before="320" w:after="120" w:line="340" w:lineRule="auto"/>
        <w:jc w:val="left"/>
      </w:pPr>
      <w:r>
        <w:rPr>
          <w:b/>
          <w:bCs/>
        </w:rPr>
        <w:t xml:space="preserve">H.7 Financing consents</w:t>
      </w:r>
    </w:p>
    <w:p>
      <w:pPr>
        <w:pStyle w:val="OABody"/>
        <w:spacing w:before="0" w:after="120" w:line="340" w:lineRule="auto"/>
        <w:ind w:left="720"/>
      </w:pPr>
      <w:r>
        <w:t xml:space="preserve">Provide agreements requiring consent or approval for this financing. If none exist, indicate that in the response.</w:t>
      </w:r>
    </w:p>
    <w:p>
      <w:pPr>
        <w:pStyle w:val="OABody"/>
        <w:keepNext/>
        <w:numPr>
          <w:ilvl w:val="0"/>
          <w:numId w:val="1"/>
        </w:numPr>
        <w:spacing w:before="320" w:after="120" w:line="340" w:lineRule="auto"/>
        <w:jc w:val="left"/>
      </w:pPr>
      <w:r>
        <w:rPr>
          <w:b/>
          <w:bCs/>
        </w:rPr>
        <w:t xml:space="preserve">H.8 Other material agreements</w:t>
      </w:r>
    </w:p>
    <w:p>
      <w:pPr>
        <w:pStyle w:val="OABody"/>
        <w:spacing w:before="0" w:after="120" w:line="340" w:lineRule="auto"/>
        <w:ind w:left="720"/>
      </w:pPr>
      <w:r>
        <w:t xml:space="preserve">Provide other agreements that are material to the Company’s business or outside its ordinary course of business.</w:t>
      </w:r>
    </w:p>
    <w:p>
      <w:pPr>
        <w:pStyle w:val="OASectionHeading"/>
      </w:pPr>
      <w:r>
        <w:t xml:space="preserve">Section I: Miscellaneous and Financial Information</w:t>
      </w:r>
    </w:p>
    <w:p>
      <w:pPr>
        <w:pStyle w:val="OABody"/>
        <w:keepNext/>
        <w:numPr>
          <w:ilvl w:val="0"/>
          <w:numId w:val="1"/>
        </w:numPr>
        <w:spacing w:before="320" w:after="120" w:line="340" w:lineRule="auto"/>
        <w:jc w:val="left"/>
      </w:pPr>
      <w:r>
        <w:rPr>
          <w:b/>
          <w:bCs/>
        </w:rPr>
        <w:t xml:space="preserve">I.1 Business and financial studies</w:t>
      </w:r>
    </w:p>
    <w:p>
      <w:pPr>
        <w:pStyle w:val="OABody"/>
        <w:spacing w:before="0" w:after="120" w:line="340" w:lineRule="auto"/>
        <w:ind w:left="720"/>
      </w:pPr>
      <w:r>
        <w:t xml:space="preserve">Provide reports and studies prepared by the Company or outside consultants on the business or financial condition of the Company, its subsidiaries or its affiliates.</w:t>
      </w:r>
    </w:p>
    <w:p>
      <w:pPr>
        <w:pStyle w:val="OABody"/>
        <w:keepNext/>
        <w:numPr>
          <w:ilvl w:val="0"/>
          <w:numId w:val="1"/>
        </w:numPr>
        <w:spacing w:before="320" w:after="120" w:line="340" w:lineRule="auto"/>
        <w:jc w:val="left"/>
      </w:pPr>
      <w:r>
        <w:rPr>
          <w:b/>
          <w:bCs/>
        </w:rPr>
        <w:t xml:space="preserve">I.2 Financial statements</w:t>
      </w:r>
    </w:p>
    <w:p>
      <w:pPr>
        <w:pStyle w:val="OABody"/>
        <w:spacing w:before="0" w:after="120" w:line="340" w:lineRule="auto"/>
        <w:ind w:left="720"/>
      </w:pPr>
      <w:r>
        <w:t xml:space="preserve">Provide the latest audited financial statements and the latest unaudited monthly financial statements.</w:t>
      </w:r>
    </w:p>
    <w:p>
      <w:pPr>
        <w:pStyle w:val="OABody"/>
        <w:keepNext/>
        <w:numPr>
          <w:ilvl w:val="0"/>
          <w:numId w:val="1"/>
        </w:numPr>
        <w:spacing w:before="320" w:after="120" w:line="340" w:lineRule="auto"/>
        <w:jc w:val="left"/>
      </w:pPr>
      <w:r>
        <w:rPr>
          <w:b/>
          <w:bCs/>
        </w:rPr>
        <w:t xml:space="preserve">I.3 Business restrictions</w:t>
      </w:r>
    </w:p>
    <w:p>
      <w:pPr>
        <w:pStyle w:val="OABody"/>
        <w:spacing w:before="0" w:after="120" w:line="340" w:lineRule="auto"/>
        <w:ind w:left="720"/>
      </w:pPr>
      <w:r>
        <w:t xml:space="preserve">Describe contracts that restrict the Company’s ability to compete in a line of business or with another person or entity, or require the Company or a subsidiary to remain in a line of business.</w:t>
      </w:r>
    </w:p>
    <w:p>
      <w:pPr>
        <w:pStyle w:val="OABody"/>
        <w:keepNext/>
        <w:numPr>
          <w:ilvl w:val="0"/>
          <w:numId w:val="1"/>
        </w:numPr>
        <w:spacing w:before="320" w:after="120" w:line="340" w:lineRule="auto"/>
        <w:jc w:val="left"/>
      </w:pPr>
      <w:r>
        <w:rPr>
          <w:b/>
          <w:bCs/>
        </w:rPr>
        <w:t xml:space="preserve">I.4 Business plan and offering materials</w:t>
      </w:r>
    </w:p>
    <w:p>
      <w:pPr>
        <w:pStyle w:val="OABody"/>
        <w:spacing w:before="0" w:after="120" w:line="340" w:lineRule="auto"/>
        <w:ind w:left="720"/>
      </w:pPr>
      <w:r>
        <w:t xml:space="preserve">Provide the latest business plan, offering memorandum or similar Company document.</w:t>
      </w:r>
    </w:p>
    <w:sectPr>
      <w:headerReference w:type="default" r:id="rId4"/>
      <w:footerReference w:type="default" r:id="rId5"/>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Venture Financing Due Diligence Request List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Venture Financing Due Diligence Request List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Sheet</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Due Diligence Request List</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fontTable" Target="fontTable.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Venture Financing Due Diligence Request List</dc:title>
  <dcterms:created xsi:type="dcterms:W3CDTF">2024-01-01T00:00:00Z</dcterms:created>
  <dcterms:modified xsi:type="dcterms:W3CDTF">2024-01-01T00:00:00Z</dcterms:modified>
</cp:coreProperties>
</file>