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West Virginia</w:t>
            </w:r>
          </w:p>
        </w:tc>
      </w:tr>
      <w:tr>
        <w:tc>
          <w:tcPr>
            <w:tcW w:w="3600" w:type="dxa"/>
            <w:tcMar>
              <w:top w:w="60" w:type="dxa"/>
              <w:left w:w="0" w:type="dxa"/>
              <w:bottom w:w="60" w:type="dxa"/>
              <w:right w:w="0" w:type="dxa"/>
            </w:tcMar>
          </w:tcPr>
          <w:p>
            <w:r>
              <w:rPr>
                <w:rFonts w:ascii="Arial" w:hAnsi="Arial" w:cs="Arial"/>
                <w:b/>
                <w:bCs/>
                <w:color w:val="1D2021"/>
                <w:sz w:val="22"/>
                <w:szCs w:val="22"/>
              </w:rPr>
              <w:t xml:space="preserve">New Consideration (if signed after hire)</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Lookback</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Customer Lookback</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3600" w:type="dxa"/>
            <w:tcMar>
              <w:top w:w="60" w:type="dxa"/>
              <w:left w:w="345" w:type="dxa"/>
              <w:bottom w:w="60" w:type="dxa"/>
              <w:right w:w="0" w:type="dxa"/>
            </w:tcMar>
          </w:tcPr>
          <w:p>
            <w:r>
              <w:rPr>
                <w:rFonts w:ascii="Arial" w:hAnsi="Arial" w:cs="Arial"/>
                <w:i/>
                <w:iCs/>
                <w:color w:val="494A4B"/>
                <w:sz w:val="21"/>
                <w:szCs w:val="21"/>
              </w:rPr>
              <w:t xml:space="preserve">Sale-of-Business Covenant</w:t>
            </w:r>
          </w:p>
        </w:tc>
        <w:tc>
          <w:tcPr>
            <w:tcW w:w="6480" w:type="dxa"/>
            <w:tcMar>
              <w:top w:w="60" w:type="dxa"/>
              <w:left w:w="0" w:type="dxa"/>
              <w:bottom w:w="60" w:type="dxa"/>
              <w:right w:w="0" w:type="dxa"/>
            </w:tcMar>
          </w:tcPr>
          <w:p>
            <w:r>
              <w:rPr>
                <w:rFonts w:ascii="Arial" w:hAnsi="Arial" w:cs="Arial"/>
                <w:i/>
                <w:iCs/>
                <w:color w:val="494A4B"/>
                <w:sz w:val="21"/>
                <w:szCs w:val="21"/>
              </w:rPr>
              <w:t xml:space="preserve">false</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Passive Public Holdings Threshold</w:t>
            </w:r>
          </w:p>
        </w:tc>
        <w:tc>
          <w:tcPr>
            <w:tcW w:w="6480" w:type="dxa"/>
            <w:tcMar>
              <w:top w:w="60" w:type="dxa"/>
              <w:left w:w="0" w:type="dxa"/>
              <w:bottom w:w="60" w:type="dxa"/>
              <w:right w:w="0" w:type="dxa"/>
            </w:tcMar>
          </w:tcPr>
          <w:p>
            <w:r>
              <w:rPr>
                <w:rFonts w:ascii="Arial" w:hAnsi="Arial" w:cs="Arial"/>
                <w:i/>
                <w:iCs/>
                <w:color w:val="494A4B"/>
                <w:sz w:val="21"/>
                <w:szCs w:val="21"/>
              </w:rPr>
              <w:t xml:space="preserve">five percent</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This definition is tied to information Employer actually keeps confidential; it does not extend to the general knowledge, skill, and experience Employee acquired during employment.</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 West Virginia covenant may protect under the Reddy v. Community Health Foundation of Man reasonableness rule, namely Employer's trade secrets, customer lists, customer goodwill, and any unusual training in which Employer has invested, but not Employer's interest in avoiding ordinary competition and not general managerial, supervisory, merchandising, purchasing, or advertising skills, which are not protectable employer interests.</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means information protected as a trade secret under the West Virginia Uniform Trade Secrets Act (W. Va. Code §§ 47-22-1 to 47-22-10) and, where applicable, the federal Defend Trade Secrets Act (18 U.S.C. § 1839).</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required for that protection. West Virginia has no general non-compete statute; enforceability is governed by the common-law rule of Reddy v. Community Health Foundation of Man, 171 W. Va. 368, 298 S.E.2d 906 (1982), under which the employer must first show that it has an interest requiring protection, and a post-employment restraint is then reasonable only if it is no greater than is required for the protection of the employer, does not impose undue hardship on the employee, and is not injurious to the public. The parties acknowledge that each covenant is meant to guard Employer's trade secrets, customer lists, customer goodwill, and unusual training investment, and not to eliminate ordinary competition, and that general managerial, supervisory, merchandising, purchasing, and advertising skills are not protectable interests (Helms Boys, Inc. v. Brady, 171 W. Va. 66, 297 S.E.2d 840 (1982); Voorhees v. Guyan Machinery Co., 191 W. Va. 450, 446 S.E.2d 672 (1994)). The parties further acknowledge that where the employer fails to show a protectable interest, a court need not reach reasonableness at all (Special Services Bureau, Inc. v. Friend, No. 18-0478 (W. Va. Sept. 9, 2019) (mem. decision)). Each covenant is intended to be reasonable in time, territory, and scope, to impose no undue hardship on Employee, and to cause no injury to the public.</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adequate consideration. If this agreement is signed at the outset of employment, the offer and commencement of employment is the consideration for the covenants. If Employee is an existing employee and this agreement is contracted after employment has commenced without a restrictive covenant, the parties acknowledge that continued at-will employment alone is not sufficient consideration under West Virginia law: a covenant contracted after employment has begun must be supported by new consideration, and a contract that alters no benefits, conditions, or terms of employment and only imposes limitations fails (Environmental Products Co. v. Duncan, 168 W. Va. 349, 285 S.E.2d 889 (1981); Pemco Corp. v. Rose, 163 W. Va. 420, 257 S.E.2d 885 (1979)). In that case, the specific new consideration exchanged for the covenants is the value stated in Cover Terms under New Consideration — a raise, bonus, promotion, equity grant, or term extension — which the parties intend to be documented in this agreement rather than reconstructed later. Employee acknowledges having had the opportunity to consult with independent legal counsel before signing this agreement. Employee acknowledges that adequate consideration establishes only that the covenants are supported, not that they are reasonable — each covenant must independently satisfy the Reddy reasonableness inquiry on protectable interest, time, territory, and scope.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for the period specified in Cover Terms under Trade Secrets Duration — intended to run in perpetuity, for as long as the information remains a trade secret. Employee's obligations regarding other Confidential Information continue for the period specified in Cover Terms under Other Confidential Information Duration, tied to actual confidential information rather than to Employee's ability to do similar work. Trade secrets are protected under West Virginia law, including the West Virginia Uniform Trade Secrets Act (W. Va. Code §§ 47-22-1 to 47-22-10), which operates alongside this agreement rather than replacing it: the act displaces conflicting tort, restitutionary, and other civil remedies for misappropriation of a trade secret, but does not affect contractual remedies, whether or not based upon misappropriation of a trade secret (W. Va. Code § 47-22-7). This confidentiality obligation is intended to operate alongside, and independent of, any restrictive covenant,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(e) responding to a subpoena, court order, or lawful demand of a government agency, with notice to Employer where permitted by law; or (f)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West Virginia's physician statute singles this protection out as one it does not limit — a provision barring a departing physician from taking employer property, patient lists, or records survives even where a physician practice restraint is capped (W. Va. Code § 47-11E-3) — and for every worker the certification is the cleanest contemporaneous evidence if protected material later surfaces at a competitor.</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No staged West Virginia case sets a separate standard for an employee non-solicit, so this covenant is drafted to remain a modest restraint analyzed under the Reddy reasonableness rule, reaching only Covered Employees during the Restricted Period and no broader than necessary to protect Employer's workforce stability and goodwill, rather than a workforce-wide mobility ban a court could treat as a disguised non-compete. A comparable non-solicitation of the employer's employees is expressly preserved even in the strictest covenant setting in the state, the physician statute (W. Va. Code § 47-11E-3).</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This covenant is intended to operate as a true non-piracy provision under Wood v. Acordia of West Virginia, Inc., 217 W. Va. 406, 618 S.E.2d 415 (2005): it restricts Employee from soliciting Employer's customers or making use of Employer's Confidential Information, ordinarily without any territorial limit, and is meant to be less restrictive than a non-compete. The lighter treatment is earned, not presumed — validity turns on whether Employer has a protectable business interest, the extent to which the provision reasonably and fairly protects that interest, and whether it unjustly restricts Employee from engaging in the business activity Employee seeks to pursue. Accordingly, this covenant reaches only Covered Customers with whom Employee had material contact and is drawn no broader than necessary to protect Employer's customer goodwill; it does not bar Employee from working in the same field, because a customer clause that effectively bars similar work in a territory loses the non-piracy frame and is reviewed as the non-compete it functions as.</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In West Virginia that reach pushes the clause away from the solicitation-and-information conduct that earns non-piracy treatment under Wood v. Acordia and toward the work-ban territory measured by the full Reddy reasonableness inquiry; it is therefore sized tightly to the goodwill it protects and reaches only Covered Customers with whom Employee had material contact. The parties treat its inclusion as a deliberate risk decision rather than boilerplate.</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its trade secrets, customer lists, customer goodwill, and unusual training investment — and not to restrain ordinary competition. Consistent with the Reddy v. Community Health Foundation of Man reasonableness rule, the parties intend this covenant to be no greater than is required for the protection of Employer, to impose no undue hardship on Employee, and to cause no injury to the public, with its time and territory sized to Employee's actual role and Employer's actual market at signing. The parties acknowledge West Virginia's facial-voidness rule: a covenant unreasonable on its face — excessively broad time or area limitations, or an apparent purpose of intimidating the employee rather than protecting Employer's business — is utterly void and unenforceable, and a court will not undertake even a partial enforcement of it (Reddy; Huntington Eye Associates, Inc. v. LoCascio, 210 W. Va. 76, 553 S.E.2d 773 (2001)). The parties therefore draw this restraint at a scope Employer can defend at signing rather than relying on any court to narrow it. If Employer has identified specific competitors in Cover Terms under Specified Competitors, the parties intend this covenant to be understood as limited to those named competitors, because a restraint bound to named competitors is strong evidence that it is no greater than required. If this covenant is given by Employee in connection with a genuine sale of a business or practice to Employer, as indicated in Cover Terms under Sale-of-Business Covenant, the parties intend it to be reviewed under West Virginia's more forgiving sale-of-business standard (Weaver v. Ritchie, 197 W. Va. 690, 478 S.E.2d 363 (1996)); that standard is available only where the covenant genuinely rides the sale and is supported by transaction consideration.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post-employment restraint analyzed under the Reddy reasonableness rule and is drawn no broader than necessary to protect Employer's Protected Interests. An investment ban with no carve-out and no clear end reads as the grasping covenant the facial screen exists to catch, so Passive Public Holdings below the threshold stated in Cover Terms are permitted and the covenant shares the defined Restricted Period.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If Employee is a physician and this contract was entered into, modified, renewed, or extended on or after July 1, 2017, any covenant not to compete in this agreement is subject to the West Virginia physician covenant statute (W. Va. Code §§ 47-11E-1 to 47-11E-5) and is not enforced as an ordinary commercial restraint. Under that statute, a covenant not to compete in a contract between a physician and an employer is limited to not more than one year in duration and thirty road miles from the physician's primary place of practice with the employer, and the covenant is void and unenforceable upon the termination of the physician's employment by the employer (W. Va. Code § 47-11E-2). Accordingly, any physician covenant in this agreement is intended to use a radius no greater than thirty road miles and a term no greater than one year, and the parties acknowledge it becomes void and unenforceable if Employer terminates the physician's employment. The statute preserves, unless this agreement states otherwise, provisions barring a physician from taking employer property, patient lists, or records; provisions requiring repayment of loans, relocation expenses, signing bonuses, or recruiting, education, and training costs; nondisclosure provisions for confidential information and trade secrets; patient and employee non-solicitation provisions; and provisions for liquidated damages (W. Va. Code § 47-11E-3). The one-year and thirty-mile limits do not apply, unless this agreement provides otherwise, where the physician has sold his or her business or practice to Employer, or to contracts between physicians who are shareholders, owners, partners, members, or directors of a health care practice (W. Va. Code § 47-11E-4).</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in West Virginia a covenant unreasonable on its face is utterly void, so a notice waving such a covenant at a new employer asserts an instrument with no legal force and may expose Employer to a tortious-interference claim; Employer should condition any such notice on a restraint it is prepared to defend under the Reddy reasonableness inquiry.</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Employer may seek to have the Restricted Period for that covenant equitably extended by the period of the breach. The parties acknowledge that whether a West Virginia court may extend a restricted period for time spent in breach or litigation, or will enforce an extension-on-breach provision, is an open question in West Virginia: no controlling decision squarely decides it, and a court that holds a facially unreasonable covenant utterly void and refuses even partial enforcement of a grasping restraint may also resist adding time the parties did not validly supply. Any extension is itself a longer restraint that must independently satisfy the three-part Reddy reasonableness inquiry rather than operate automatically; the parties do not intend an open-ended or indefinite extension, and this provision does not enlarge any physician covenant beyond the statutory one-year cap (W. Va. Code § 47-11E-2).</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and that Employer may seek injunctive or other equitable relief in addition to any other remedies available at law. The parties acknowledge that this recital buys nothing on its own: West Virginia courts deny enforcement at the protectable-interest gate without ever reaching reasonableness, and no recital substitutes for Employer's threshold showing of an interest requiring protection (Special Services Bureau, Inc. v. Friend, No. 18-0478 (W. Va. Sept. 9, 2019) (mem. decision)). For trade-secret claims, the parties note the statutory overlay: under the West Virginia Uniform Trade Secrets Act, a court may award reasonable attorney's fees to the prevailing party where a misappropriation claim is made in bad faith, a motion to terminate an injunction is made or resisted in bad faith, or willful and malicious misappropriation occurs (W. Va. Code § 47-22-4), independent of any contractual fee clause. Absent a fee-shifting clause, each side bears its own costs under the default American Rule; any contractual fee-shifting should run both ways.</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and to read on its own, so that a court's refusal to enforce one covenant does not affect the others. The parties acknowledge West Virginia's two-step rule and do not rely on this clause to cure overbreadth: a covenant unreasonable on its face is utterly void, and a court will not undertake even a partial enforcement of it (Reddy v. Community Health Foundation of Man, 171 W. Va. 368, 298 S.E.2d 906 (1982); Huntington Eye Associates, Inc. v. LoCascio, 210 W. Va. 76, 553 S.E.2d 773 (2001)). A savings clause does not move a facially unreasonable covenant from the void column to the tailorable one; each covenant is instead drawn as a narrow, severable, reasonable restraint the employer can defend at signing.</w:t>
      </w:r>
    </w:p>
    <w:p>
      <w:pPr>
        <w:pStyle w:val="OABody"/>
        <w:keepNext/>
        <w:numPr>
          <w:ilvl w:val="0"/>
          <w:numId w:val="1"/>
        </w:numPr>
        <w:spacing w:before="320" w:after="120" w:line="340" w:lineRule="auto"/>
        <w:jc w:val="left"/>
      </w:pPr>
      <w:r>
        <w:rPr>
          <w:b/>
          <w:bCs/>
        </w:rPr>
        <w:t xml:space="preserve">No Reliance on Judicial Narrowing</w:t>
      </w:r>
    </w:p>
    <w:p>
      <w:pPr>
        <w:pStyle w:val="OABody"/>
        <w:spacing w:before="0" w:after="120" w:line="340" w:lineRule="auto"/>
        <w:ind w:left="720"/>
      </w:pPr>
      <w:r>
        <w:t xml:space="preserve">The parties do not rely on any court to narrow, reform, or blue-pencil an overbroad restraint in this agreement. Under West Virginia law, judicial tailoring is reserved for the minor overbreadth to which a facially reasonable covenant is naturally prone; it is unavailable for a covenant that is unreasonable on its face, which is held void and unenforceable without even partial enforcement, and which is distinguished from the ordinary-reasonableness review used to address minor overbreadth (Huntington Eye Associates, Inc. v. LoCascio, 210 W. Va. 76, 553 S.E.2d 773 (2001); Reddy v. Community Health Foundation of Man, 171 W. Va. 368, 298 S.E.2d 906 (1982)). Accordingly, each restrictive covenant in this agreement is drawn at the narrow scope Employer can defend at signing — a short term, a tight territory, and a purpose tied to a proven Protected Interest — and is intended to be enforceable as written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and is intended to expire on its own definite schedule and to read on its own. Obligations under the Confidential Information and Trade Secret Protection section survive to the extent they relate to trade secrets, for as long as the information remains a trade secret. This self-contained survival is deliberate: in a state where a facially unreasonable covenant gets no judicial repair, keeping each covenant separate is what lets a sound non-piracy or confidentiality term outlive a failed non-compete.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acknowledge that an assignment moves the covenant but does not upgrade it: whoever seeks enforcement must itself hold the Protected Interest the covenant guards, and the restraint must still be no greater than that interest requires under the Reddy reasonableness inquiry.</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West Virginia law governs, the enforceability of each restrictive covenant is determined under the common-law rule of Reddy v. Community Health Foundation of Man and its progeny; there is no general West Virginia non-compete statute and no statutory safe harbor for a general-employment covenant, so each covenant is drafted to survive the two-stage protectable-interest-and-reasonableness inquiry and West Virginia's facial-voidness screen rather than to escape them. Disputes will be resolved in the courts of the Governing Law state, subject to non-waivable rights under applicable law. The parties intend that the governing-law and venue choices match where Employee actually lives and works, and treat any mismatch between the named state and Employee's real location as a question for counsel.</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two West Virginia wrinkles: an amendment that re-papers a covenant after employment has begun is itself a covenant contracted after employment commenced and needs new consideration of its own (Environmental Products Co. v. Duncan, 168 W. Va. 349, 285 S.E.2d 889 (1981)); and for a physician contract, a modification, renewal, or extension on or after July 1, 2017 pulls the agreement inside the physician statute and its one-year, thirty-mile cap (W. Va. Code § 47-11E-5).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(West Virginia)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(West Virginia)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(West Virginia)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