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Washington</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3600" w:type="dxa"/>
            <w:tcMar>
              <w:top w:w="60" w:type="dxa"/>
              <w:left w:w="345" w:type="dxa"/>
              <w:bottom w:w="60" w:type="dxa"/>
              <w:right w:w="0" w:type="dxa"/>
            </w:tcMar>
          </w:tcPr>
          <w:p>
            <w:r>
              <w:rPr>
                <w:rFonts w:ascii="Arial" w:hAnsi="Arial" w:cs="Arial"/>
                <w:i/>
                <w:iCs/>
                <w:color w:val="494A4B"/>
                <w:sz w:val="21"/>
                <w:szCs w:val="21"/>
              </w:rPr>
              <w:t xml:space="preserve">Earnings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$126,858.83 for an employee (or $317,147.09 for an independent contractor) annualized, as adjusted for 2026 under RCW 49.62.040</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This definition is information-shaped and is not intended to restrain Employee from engaging in any lawful profession, trade, or business.</w:t>
      </w:r>
    </w:p>
    <w:p>
      <w:pPr>
        <w:pStyle w:val="OABody"/>
        <w:numPr>
          <w:ilvl w:val="1"/>
          <w:numId w:val="1"/>
        </w:numPr>
        <w:spacing w:before="0" w:after="120" w:line="340" w:lineRule="auto"/>
      </w:pPr>
      <w:r>
        <w:rPr>
          <w:b/>
          <w:bCs/>
          <w:color w:val="117086"/>
        </w:rPr>
        <w:t xml:space="preserve">“Covered Customers”</w:t>
      </w:r>
      <w:r>
        <w:t xml:space="preserve"> means current customers of Employer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of Employer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in its Confidential Information and trade secrets, its relationships with current customers, its workforce stability, and its goodwill, in each case to the extent a restraint serving that interest is reasonable and necessary under Wood v. May, 73 Wn.2d 307 (1968).</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or encourage a person or entity, upon termination of Employee's employment, for the purpose of causing a Covered Customer to cease or reduce its business with Employer or a Covered Employee to leave Employer, but does not include accepting or transacting business a Covered Customer initiates, responding to general advertisements or unsolicited inquiries not initiated by Employee, or providing a professional reference upon request.</w:t>
      </w:r>
    </w:p>
    <w:p>
      <w:pPr>
        <w:pStyle w:val="OABody"/>
        <w:numPr>
          <w:ilvl w:val="1"/>
          <w:numId w:val="1"/>
        </w:numPr>
        <w:spacing w:before="0" w:after="120" w:line="340" w:lineRule="auto"/>
      </w:pPr>
      <w:r>
        <w:rPr>
          <w:b/>
          <w:bCs/>
          <w:color w:val="117086"/>
        </w:rPr>
        <w:t xml:space="preserve">“Trade Secrets”</w:t>
      </w:r>
      <w:r>
        <w:t xml:space="preserve"> has the meaning given in the Uniform Trade Secrets Act as adopted in Washington, chapter 19.108 RCW.</w:t>
      </w:r>
    </w:p>
    <w:p>
      <w:pPr>
        <w:pStyle w:val="OABody"/>
        <w:keepNext/>
        <w:numPr>
          <w:ilvl w:val="0"/>
          <w:numId w:val="1"/>
        </w:numPr>
        <w:spacing w:before="320" w:after="120" w:line="340" w:lineRule="auto"/>
        <w:jc w:val="left"/>
      </w:pPr>
      <w:r>
        <w:rPr>
          <w:b/>
          <w:bCs/>
        </w:rPr>
        <w:t xml:space="preserve">Recitals and Legitimate Business Interests</w:t>
      </w:r>
    </w:p>
    <w:p>
      <w:pPr>
        <w:pStyle w:val="OABody"/>
        <w:spacing w:before="0" w:after="120" w:line="340" w:lineRule="auto"/>
        <w:ind w:left="720"/>
      </w:pPr>
      <w:r>
        <w:t xml:space="preserve">Employer and Employee acknowledge that each restrictive covenant in this agreement is ancillary to a valid employment relationship and is supported by, and no greater than, the restraint reasonable and necessary to protect one or more of Employer's Protected Interests, consistent with Wood v. May, 73 Wn.2d 307 (1968). The parties acknowledge that chapter 49.62 RCW governs noncompetition covenants entered into in Washington, that the nonsolicitation, confidentiality, and trade-secret covenants in this agreement are excluded from the statutory definition of a noncompetition covenant under RCW 49.62.010(4), and that any covenant in this agreement that operates as a noncompetition covenant is subject to the conditions in the Washington Statutory Conditions for Any Non-Compete section below. Employer would not provide Employee with access to these Protected Interests absent the protections in this agreement, and each covenant is drawn to the minimum scope, duration, and geography the Protected Interest requires so that no judicial reformation is needed to enforce it.</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Employer has advised Employee to consult with an attorney before entering into this agreement. If this agreement is entered into at or before the commencement of Employee's employment, Employer has disclosed the terms of the restrictive covenants in writing to Employee no later than the time of Employee's initial oral or written acceptance of the offer of employment, as required by RCW 49.62.020(1)(a)(i); and if any covenant would become enforceable only at a later date because Employee's earnings then exceed the applicable threshold, Employer specifically discloses that the agreement may be enforceable against Employee in the future. If this agreement is entered into after the commencement of Employee's employment, Employer provides </w:t>
      </w:r>
      <w:r>
        <w:rPr>
          <w:b w:val="0"/>
          <w:bCs w:val="0"/>
        </w:rPr>
        <w:t xml:space="preserve">the signing or retention bonus, equity grant, promotion, or other new benefit the parties identify as given specifically in exchange for the restrictive covenants</w:t>
      </w:r>
      <w:r>
        <w:t xml:space="preserve"> as independent consideration given specifically in exchange for the restrictive covenants, as required by RCW 49.62.020(1)(a)(ii); the parties acknowledge, consistent with Labriola v. Pollard Group, Inc., 152 Wn.2d 828 (2004), that continued at-will employment alone is not independent consideration for a covenant entered into after employment has commenced.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so long as the information remains a trade secret. Employee's obligations regarding other Confidential Information continue for the period specified in Cover Terms. Trade secrets are protected under Washington law, including the Uniform Trade Secrets Act, chapter 19.108 RCW. This section is a confidentiality and trade-secret covenant excluded from the definition of a noncompetition covenant under RCW 49.62.010(4).</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any Covered Employee to leave Employer. This restriction is limited to solicitation as defined above and does not prohibit Employee from providing a professional reference upon request or from hiring a person who responds to a general advertisement not directed specifically at Employer's employees. This covenant is a nonsolicitation agreement within RCW 49.62.010(5)(a) and is excluded from the definition of a noncompetition covenant; it is not drawn to reach the acceptance or transaction of business, which would bring it within RCW 49.62.010(4).</w:t>
      </w:r>
    </w:p>
    <w:p>
      <w:pPr>
        <w:pStyle w:val="OABody"/>
        <w:keepNext/>
        <w:numPr>
          <w:ilvl w:val="0"/>
          <w:numId w:val="1"/>
        </w:numPr>
        <w:spacing w:before="320" w:after="120" w:line="340" w:lineRule="auto"/>
        <w:jc w:val="left"/>
      </w:pPr>
      <w:r>
        <w:rPr>
          <w:b/>
          <w:bCs/>
        </w:rPr>
        <w:t xml:space="preserve">Non-Solicitation of Customers</w:t>
      </w:r>
    </w:p>
    <w:p>
      <w:pPr>
        <w:pStyle w:val="OABody"/>
        <w:spacing w:before="0" w:after="120" w:line="340" w:lineRule="auto"/>
        <w:ind w:left="720"/>
      </w:pPr>
      <w:r>
        <w:t xml:space="preserve">During the Restricted Period, Employee must not Solicit any Covered Customer to cease or reduce the extent to which it is doing business with Employer. This covenant is a nonsolicitation agreement within RCW 49.62.010(5)(b) and is excluded from the definition of a noncompetition covenant. It reaches only solicitation Employee initiates and does not prohibit accepting or transacting business a Covered Customer brings to Employee; a clause that directly or indirectly prohibited the acceptance or transaction of business with a customer would be a noncompetition covenant under RCW 49.62.010(4) and subject to the Washington Statutory Conditions for Any Non-Compete section below. Effective June 30, 2027, ESHB 1155 limits this exclusion to a Covered Customer with whom Employee established or substantially developed a direct relationship through Employee's work for Employer, with the prohibition expiring no later than eighteen months after termination of employment.</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Because it directly or indirectly prohibits the acceptance or transaction of business with a customer, this covenant is a noncompetition covenant under RCW 49.62.010(4); it is therefore subject in full to the Washington Statutory Conditions for Any Non-Compete section below, including the earnings threshold, the disclosure-or-consideration timing rule, the layoff garden-leave condition, and the eighteen-month duration presumption.</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applies only to a Competitive Business and only within the Restricted Territory, and is drawn no broader in time, place, or scope than the restraint reasonable and necessary to protect Employer's Protected Interests under Wood v. May, 73 Wn.2d 307 (1968). Passive Public Holdings are permitted. This covenant is a noncompetition covenant under chapter 49.62 RCW and is subject in full to the Washington Statutory Conditions for Any Non-Compete section below. The parties acknowledge that ESHB 1155 (ch. 149, Laws of 2026) voids all noncompetition covenants effective June 30, 2027, regardless of when the parties entered into them.</w:t>
      </w:r>
    </w:p>
    <w:p>
      <w:pPr>
        <w:pStyle w:val="OABody"/>
        <w:keepNext/>
        <w:numPr>
          <w:ilvl w:val="0"/>
          <w:numId w:val="1"/>
        </w:numPr>
        <w:spacing w:before="320" w:after="120" w:line="340" w:lineRule="auto"/>
        <w:jc w:val="left"/>
      </w:pPr>
      <w:r>
        <w:rPr>
          <w:b/>
          <w:bCs/>
        </w:rPr>
        <w:t xml:space="preserve">Named-Competitor Narrowing</w:t>
      </w:r>
    </w:p>
    <w:p>
      <w:pPr>
        <w:pStyle w:val="OABody"/>
        <w:spacing w:before="0" w:after="120" w:line="340" w:lineRule="auto"/>
        <w:ind w:left="720"/>
      </w:pPr>
      <w:r>
        <w:t xml:space="preserve">Where Cover Terms list Specified Competitors, the Non-Competition covenant is limited to the named businesses and their affiliates and successors. Narrowing the covenant to a named list keeps its scope inside the Protected Interest and avoids any need for a court to narrow it, which would trigger the reformation penalty under RCW 49.62.080(3).</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noncompetition covenant under RCW 49.62.010(4); it is therefore subject in full to the Washington Statutory Conditions for Any Non-Compete section below and is drawn no broader than the restraint reasonable and necessary to protect Employer's Protected Interests. The parties acknowledge that, effective June 30, 2027, ESHB 1155 also treats as a noncompetition covenant any provision that requires Employee to return, repay, or forfeit compensation as a consequence of engaging in a lawful profession, trade, or business.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Body"/>
        <w:keepNext/>
        <w:numPr>
          <w:ilvl w:val="0"/>
          <w:numId w:val="1"/>
        </w:numPr>
        <w:spacing w:before="320" w:after="120" w:line="340" w:lineRule="auto"/>
        <w:jc w:val="left"/>
      </w:pPr>
      <w:r>
        <w:rPr>
          <w:b/>
          <w:bCs/>
        </w:rPr>
        <w:t xml:space="preserve">Washington Statutory Conditions for Any Non-Compete</w:t>
      </w:r>
    </w:p>
    <w:p>
      <w:pPr>
        <w:pStyle w:val="OABody"/>
        <w:numPr>
          <w:ilvl w:val="1"/>
          <w:numId w:val="1"/>
        </w:numPr>
        <w:spacing w:before="0" w:after="120" w:line="340" w:lineRule="auto"/>
      </w:pPr>
      <w:r>
        <w:t xml:space="preserve">This section applies to every covenant in this agreement that is a noncompetition covenant under chapter 49.62 RCW, including the Non-Competition covenant, any No Business with Covered Customers covenant, and any Non-Investment covenant (each, for this section, a "Non-Compete Covenant").</w:t>
      </w:r>
    </w:p>
    <w:p>
      <w:pPr>
        <w:pStyle w:val="OABody"/>
        <w:numPr>
          <w:ilvl w:val="1"/>
          <w:numId w:val="1"/>
        </w:numPr>
        <w:spacing w:before="0" w:after="120" w:line="340" w:lineRule="auto"/>
      </w:pPr>
      <w:r>
        <w:rPr>
          <w:b/>
          <w:bCs/>
        </w:rPr>
        <w:t xml:space="preserve">Earnings threshold.</w:t>
      </w:r>
      <w:r>
        <w:t xml:space="preserve"> Each Non-Compete Covenant is enforceable only if Employee's earnings from Employer, when annualized, exceed the applicable threshold in Cover Terms — </w:t>
      </w:r>
      <w:r>
        <w:rPr>
          <w:b w:val="0"/>
          <w:bCs w:val="0"/>
        </w:rPr>
        <w:t xml:space="preserve">$126,858.83 for an employee (or $317,147.09 for an independent contractor) annualized, as adjusted for 2026 under RCW 49.62.040</w:t>
      </w:r>
      <w:r>
        <w:t xml:space="preserve"> — as required by RCW 49.62.020(1)(b) and adjusted annually under RCW 49.62.040. Where Employee is an independent contractor, the higher threshold in RCW 49.62.030 applies, and a covenant between a performer and a performance space must not exceed three calendar days under RCW 49.62.030(2). Earnings are measured from the party seeking enforcement and annualized as of the earlier of the date enforcement is sought or the date of separation, as provided in RCW 49.62.010(1).</w:t>
      </w:r>
    </w:p>
    <w:p>
      <w:pPr>
        <w:pStyle w:val="OABody"/>
        <w:numPr>
          <w:ilvl w:val="1"/>
          <w:numId w:val="1"/>
        </w:numPr>
        <w:spacing w:before="0" w:after="120" w:line="340" w:lineRule="auto"/>
      </w:pPr>
      <w:r>
        <w:rPr>
          <w:b/>
          <w:bCs/>
        </w:rPr>
        <w:t xml:space="preserve">Disclosure or independent consideration.</w:t>
      </w:r>
      <w:r>
        <w:t xml:space="preserve"> Each Non-Compete Covenant is enforceable only if the disclosure-or-consideration timing conditions in the Timing, Consideration, and Right to Consult Counsel section are satisfied — written disclosure of the terms no later than the time of Employee's acceptance of the offer for an at-hire covenant (RCW 49.62.020(1)(a)(i)), or independent consideration for a covenant entered into after employment has commenced (RCW 49.62.020(1)(a)(ii)).</w:t>
      </w:r>
    </w:p>
    <w:p>
      <w:pPr>
        <w:pStyle w:val="OABody"/>
        <w:numPr>
          <w:ilvl w:val="1"/>
          <w:numId w:val="1"/>
        </w:numPr>
        <w:spacing w:before="0" w:after="120" w:line="340" w:lineRule="auto"/>
      </w:pPr>
      <w:r>
        <w:rPr>
          <w:b/>
          <w:bCs/>
        </w:rPr>
        <w:t xml:space="preserve">Layoff garden-leave pay.</w:t>
      </w:r>
      <w:r>
        <w:t xml:space="preserve"> If Employee is terminated as the result of a layoff, each Non-Compete Covenant is enforceable only if its enforcement includes compensation equivalent to Employee's base salary at the time of termination for the period of enforcement, minus compensation earned through subsequent employment during the period of enforcement, as required by RCW 49.62.020(1)(c). Employer's election to enforce a Non-Compete Covenant against a laid-off Employee constitutes Employer's agreement to pay that compensation.</w:t>
      </w:r>
    </w:p>
    <w:p>
      <w:pPr>
        <w:pStyle w:val="OABody"/>
        <w:numPr>
          <w:ilvl w:val="1"/>
          <w:numId w:val="1"/>
        </w:numPr>
        <w:spacing w:before="0" w:after="120" w:line="340" w:lineRule="auto"/>
      </w:pPr>
      <w:r>
        <w:rPr>
          <w:b/>
          <w:bCs/>
        </w:rPr>
        <w:t xml:space="preserve">Eighteen-month duration.</w:t>
      </w:r>
      <w:r>
        <w:t xml:space="preserve"> The Restricted Period for each Non-Compete Covenant does not exceed eighteen months after termination of employment. Under RCW 49.62.020(2), a court or arbitrator must presume that any noncompetition covenant with a duration exceeding eighteen months is unreasonable and unenforceable, rebuttable only by clear and convincing evidence that a longer duration is necessary to protect Employer's business or goodwill.</w:t>
      </w:r>
    </w:p>
    <w:p>
      <w:pPr>
        <w:pStyle w:val="OABody"/>
        <w:numPr>
          <w:ilvl w:val="1"/>
          <w:numId w:val="1"/>
        </w:numPr>
        <w:spacing w:before="0" w:after="120" w:line="340" w:lineRule="auto"/>
      </w:pPr>
      <w:r>
        <w:rPr>
          <w:b/>
          <w:bCs/>
        </w:rPr>
        <w:t xml:space="preserve">Low-wage second-job protection.</w:t>
      </w:r>
      <w:r>
        <w:t xml:space="preserve"> Notwithstanding any other provision of this agreement, no covenant in this agreement restricts, restrains, or prohibits an Employee earning less than twice the applicable Washington state minimum hourly wage from having an additional job, supplementing income by working for another employer, working as an independent contractor, or being self-employed, as required by RCW 49.62.070. Any exclusivity or outside-activities obligation is limited accordingly.</w:t>
      </w:r>
    </w:p>
    <w:p>
      <w:pPr>
        <w:pStyle w:val="OABody"/>
        <w:numPr>
          <w:ilvl w:val="1"/>
          <w:numId w:val="1"/>
        </w:numPr>
        <w:spacing w:before="0" w:after="120" w:line="340" w:lineRule="auto"/>
      </w:pPr>
      <w:r>
        <w:rPr>
          <w:b/>
          <w:bCs/>
        </w:rPr>
        <w:t xml:space="preserve">No out-of-state law or forum.</w:t>
      </w:r>
      <w:r>
        <w:t xml:space="preserve"> For a Washington-based Employee, no provision of this agreement requires adjudication of a noncompetition covenant outside Washington, deprives Employee of the protections or benefits of chapter 49.62 RCW, or applies choice-of-law principles or the substantive law of any jurisdiction other than Washington, each of which would be void and unenforceable under RCW 49.62.050.</w:t>
      </w:r>
    </w:p>
    <w:p>
      <w:pPr>
        <w:pStyle w:val="OABody"/>
        <w:numPr>
          <w:ilvl w:val="1"/>
          <w:numId w:val="1"/>
        </w:numPr>
        <w:spacing w:before="0" w:after="120" w:line="340" w:lineRule="auto"/>
      </w:pPr>
      <w:r>
        <w:rPr>
          <w:b/>
          <w:bCs/>
        </w:rPr>
        <w:t xml:space="preserve">June 30, 2027 ban.</w:t>
      </w:r>
      <w:r>
        <w:t xml:space="preserve"> The parties acknowledge that ESHB 1155 (ch. 149, Laws of 2026) voids each Non-Compete Covenant effective June 30, 2027, regardless of when the parties entered into it; that from that date it is a violation of chapter 49.62 RCW to enforce, attempt to enforce, or threaten to enforce a noncompetition covenant, or to represent that Employee is subject to one; and that by October 1, 2027 Employer must make reasonable efforts to provide written notice to affected current and former workers that their covenant is void and unenforceable.</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Before June 30, 2027, Employer may disclose the existence and terms of this agreement to a prospective employer or business associate of Employee if Employer has a reasonable belief that Employee may breach this agreement, and Employee consents to that disclosure. On and after June 30, 2027, this clause does not authorize any representation that Employee is subject to a noncompetition covenant, because ESHB 1155 makes such a representation a violation of chapter 49.62 RCW.</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provided that, for any Non-Compete Covenant, the extended Restricted Period does not in total exceed eighteen months after termination of employment, so that tolling does not carry the covenant past the RCW 49.62.020(2) presumption. Washington law does not settle whether a noncompetition covenant may be tolled, and this clause is drawn conservatively against the eighteen-month ceiling and the reasonable-extent rule of Wood v. May, 73 Wn.2d 307 (1968).</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chapter 49.62 RCW supplies no presumption of irreparable injury. Employee acknowledges that, under RCW 49.62.080(2), if a court or arbitrator determines that a noncompetition covenant violates chapter 49.62 RCW, and under RCW 49.62.080(3), if a court or arbitrator reforms, rewrites, modifies, or only partially enforces a noncompetition covenant, the party seeking enforcement must pay the aggrieved person the greater of actual damages or a statutory penalty of $5,000, plus reasonable attorneys' fees, expenses, and costs.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The parties intend each restrictive covenant to be enforceable as written; this section is not a request for, and does not authorize reliance on, judicial reformation of any noncompetition covenant.</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Washington courts retain equitable power to enforce a restraint only to its reasonable extent (Wood v. May, 73 Wn.2d 307 (1968)) and to modify a covenant whose terms are partly unreasonable rather than void it (Emerick v. Cardiac Study Center, Inc., 189 Wn. App. 711 (2015)). The parties acknowledge, however, that under RCW 49.62.080(3), whenever a court or arbitrator reforms, rewrites, modifies, or only partially enforces any noncompetition covenant, the party seeking enforcement must pay the aggrieved person the greater of actual damages or a $5,000 statutory penalty, plus reasonable attorneys' fees, expenses, and costs. Accordingly, each restrictive covenant in this agreement is drawn to the minimum scope, duration, and geography the Protected Interest requires and is intended to be enforced as written; neither party relies on judicial reformation to cure any overbreadth, and this agreement is not to be read as inviting a court to narrow an overbroad covenant.</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subject to the Washington Statutory Conditions for Any Non-Compete section and the June 30, 2027 statutory expiry of any Non-Compete Covenant under ESHB 1155.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Because the earnings threshold in RCW 49.62.020(1)(b) is measured from the party seeking enforcement, an assignee seeking to enforce a Non-Compete Covenant must independently satisfy that threshold as to Employee.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For a Washington-based Employee, that law is the law of the State of Washington, including chapter 49.62 RCW; the dispute will be adjudicated in Washington; and Employee retains the full protections and benefits of chapter 49.62 RCW. Consistent with RCW 49.62.050, no provision of this agreement requires a Washington-based Employee to adjudicate a noncompetition covenant outside Washington, deprives Employee of those protections, or applies the substantive law of any jurisdiction other than Washington to the noncompetition covenant.</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each new execution of a restrictive covenant must independently satisfy the disclosure-or-consideration timing conditions of RCW 49.62.020(1)(a).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(Washington)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(Washington)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(Washington)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