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 In Virginia the execution date selects the regime: covenants entered into on or after July 1, 2025 face a protected class that includes every overtime-eligible employee regardless of pay, and agreements entered into, amended, or renewed on or after July 1, 2026 fall inside the SB 170 severance rule and the SB 128 / HB 627 health-care ban (Va. Code § 40.1-28.7:8; 2026 Va. Acts chs. 883, 1114).]</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Virginia</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Virginia Statutory Gates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Low-Wage Threshold (Average Weekly Earnings)</w:t>
            </w:r>
          </w:p>
        </w:tc>
        <w:tc>
          <w:tcPr>
            <w:tcW w:w="6480" w:type="dxa"/>
            <w:tcMar>
              <w:top w:w="60" w:type="dxa"/>
              <w:left w:w="0" w:type="dxa"/>
              <w:bottom w:w="60" w:type="dxa"/>
              <w:right w:w="0" w:type="dxa"/>
            </w:tcMar>
          </w:tcPr>
          <w:p>
            <w:r>
              <w:rPr>
                <w:rFonts w:ascii="Arial" w:hAnsi="Arial" w:cs="Arial"/>
                <w:i/>
                <w:iCs/>
                <w:color w:val="494A4B"/>
                <w:sz w:val="21"/>
                <w:szCs w:val="21"/>
              </w:rPr>
              <w:t xml:space="preserve">$1,507.01 per week</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Without-Cause Severance / Disclosed Compensation</w:t>
            </w:r>
          </w:p>
        </w:tc>
        <w:tc>
          <w:tcPr>
            <w:tcW w:w="6480" w:type="dxa"/>
            <w:tcMar>
              <w:top w:w="60" w:type="dxa"/>
              <w:left w:w="0" w:type="dxa"/>
              <w:bottom w:w="60" w:type="dxa"/>
              <w:right w:w="0" w:type="dxa"/>
            </w:tcMar>
          </w:tcPr>
          <w:p>
            <w:r>
              <w:rPr>
                <w:rFonts w:ascii="Arial" w:hAnsi="Arial" w:cs="Arial"/>
                <w:i/>
                <w:iCs/>
                <w:color w:val="494A4B"/>
                <w:sz w:val="21"/>
                <w:szCs w:val="21"/>
              </w:rPr>
              <w:t xml:space="preserve">severance equal to the Employee's base salary for the length of the Restricted Period, paid over that period</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Covered Employee Period</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Covered Customer Period</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 in which Employee worked or had responsibility for Employer during the last two years of employment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Passive Public Holdings Threshold</w:t>
            </w:r>
          </w:p>
        </w:tc>
        <w:tc>
          <w:tcPr>
            <w:tcW w:w="6480" w:type="dxa"/>
            <w:tcMar>
              <w:top w:w="60" w:type="dxa"/>
              <w:left w:w="0" w:type="dxa"/>
              <w:bottom w:w="60" w:type="dxa"/>
              <w:right w:w="0" w:type="dxa"/>
            </w:tcMar>
          </w:tcPr>
          <w:p>
            <w:r>
              <w:rPr>
                <w:rFonts w:ascii="Arial" w:hAnsi="Arial" w:cs="Arial"/>
                <w:i/>
                <w:iCs/>
                <w:color w:val="494A4B"/>
                <w:sz w:val="21"/>
                <w:szCs w:val="21"/>
              </w:rPr>
              <w:t xml:space="preserve">five percent</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 information that arises from Employee's general training, knowledge, skill, or experience whether gained on the job or otherwise, information that is readily ascertainable to the public, and information Employee otherwise has a right to disclose as legally protected conduct.</w:t>
      </w:r>
    </w:p>
    <w:p>
      <w:pPr>
        <w:pStyle w:val="OABody"/>
        <w:numPr>
          <w:ilvl w:val="1"/>
          <w:numId w:val="1"/>
        </w:numPr>
        <w:spacing w:before="0" w:after="120" w:line="340" w:lineRule="auto"/>
      </w:pPr>
      <w:r>
        <w:rPr>
          <w:b/>
          <w:bCs/>
          <w:color w:val="117086"/>
        </w:rPr>
        <w:t xml:space="preserve">“Covered Customers”</w:t>
      </w:r>
      <w:r>
        <w:t xml:space="preserve"> means customers, vendors, referral sources, and business partners with whom Employee had material contact or for whom Employee had responsibility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“Covered Employees”</w:t>
      </w:r>
      <w:r>
        <w:t xml:space="preserve"> means employees with whom Employee worked or whom Employee managed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Employer's legitimate business interests, including its Trade Secrets and other Confidential Information, its customer and referral relationships, and the goodwill Employee helped develop. Under the Omniplex three-part test, Employer bears the burden of showing each restraint is no greater than necessary to protect a Protected Interest, is not unduly harsh or oppressive on Employee's ability to earn a livelihood, and is consistent with sound public policy.</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w:t>
      </w:r>
    </w:p>
    <w:p>
      <w:pPr>
        <w:pStyle w:val="OABody"/>
        <w:numPr>
          <w:ilvl w:val="1"/>
          <w:numId w:val="1"/>
        </w:numPr>
        <w:spacing w:before="0" w:after="120" w:line="340" w:lineRule="auto"/>
      </w:pPr>
      <w:r>
        <w:rPr>
          <w:b/>
          <w:bCs/>
          <w:color w:val="117086"/>
        </w:rPr>
        <w:t xml:space="preserve">“Solicit”</w:t>
      </w:r>
      <w:r>
        <w:t xml:space="preserve"> means to directly or indirectly initiate contact with, approach, induce, or encourage any person or entity for the purpose of diverting business away from Employer, but does not include responding to general advertisements or to inquiries or business initiated by the customer, client, or person and not solicited by Employee.</w:t>
      </w:r>
    </w:p>
    <w:p>
      <w:pPr>
        <w:pStyle w:val="OABody"/>
        <w:numPr>
          <w:ilvl w:val="1"/>
          <w:numId w:val="1"/>
        </w:numPr>
        <w:spacing w:before="0" w:after="120" w:line="340" w:lineRule="auto"/>
      </w:pPr>
      <w:r>
        <w:rPr>
          <w:b/>
          <w:bCs/>
          <w:color w:val="117086"/>
        </w:rPr>
        <w:t xml:space="preserve">“Trade Secrets”</w:t>
      </w:r>
      <w:r>
        <w:t xml:space="preserve"> means information that qualifies as a trade secret under the Virginia Uniform Trade Secrets Act, Va. Code § 59.1-336, including information that derives independent economic value, actual or potential, from not being generally known to, and not being readily ascertainable by proper means by, other persons who can obtain economic value from its disclosure or use, and that is the subject of efforts that are reasonable under the circumstances to maintain its secrecy (see also the federal Defend Trade Secrets Act, 18 U.S.C. § 1839(3)).</w:t>
      </w:r>
    </w:p>
    <w:p>
      <w:pPr>
        <w:pStyle w:val="OABody"/>
        <w:keepNext/>
        <w:numPr>
          <w:ilvl w:val="0"/>
          <w:numId w:val="1"/>
        </w:numPr>
        <w:spacing w:before="320" w:after="120" w:line="340" w:lineRule="auto"/>
        <w:jc w:val="left"/>
      </w:pPr>
      <w:r>
        <w:rPr>
          <w:b/>
          <w:bCs/>
        </w:rPr>
        <w:t xml:space="preserve">Recitals and Protected Interests</w:t>
      </w:r>
    </w:p>
    <w:p>
      <w:pPr>
        <w:pStyle w:val="OABody"/>
        <w:spacing w:before="0" w:after="120" w:line="340" w:lineRule="auto"/>
        <w:ind w:left="720"/>
      </w:pPr>
      <w:r>
        <w:t xml:space="preserve">Employer and Employee acknowledge that each restrictive covenant in this agreement is ancillary to a valid employment relationship. Employee will receive access to Employer's Trade Secrets and other Confidential Information and will develop customer relationships and goodwill on Employer's behalf, and each covenant is included to protect those Protected Interests. Employer and Employee intend each covenant to be no greater than necessary to protect a legitimate business interest, not unduly harsh or oppressive on Employee's ability to earn a livelihood, and consistent with sound public policy, as required by the three-part test of Omniplex World Servs. Corp. v. U.S. Investigations Servs., Inc., 270 Va. 246 (2005), on which Employer bears the burden (Modern Env'ts, Inc. v. Stinnett, 263 Va. 491 (2002)). Because Virginia courts strictly construe restrictive covenants and do not rewrite an overbroad covenant into an enforceable one, the parties intend each covenant to be enforceable as written and drawn within the scope Virginia law permits at the outset, rather than in reliance on any judicial narrowing.</w:t>
      </w:r>
    </w:p>
    <w:p>
      <w:pPr>
        <w:pStyle w:val="OABody"/>
        <w:keepNext/>
        <w:numPr>
          <w:ilvl w:val="0"/>
          <w:numId w:val="1"/>
        </w:numPr>
        <w:spacing w:before="320" w:after="120" w:line="340" w:lineRule="auto"/>
        <w:jc w:val="left"/>
      </w:pPr>
      <w:r>
        <w:rPr>
          <w:b/>
          <w:bCs/>
        </w:rPr>
        <w:t xml:space="preserve">Timing, Consideration, and Workplace Posting</w:t>
      </w:r>
    </w:p>
    <w:p>
      <w:pPr>
        <w:pStyle w:val="OABody"/>
        <w:numPr>
          <w:ilvl w:val="1"/>
          <w:numId w:val="1"/>
        </w:numPr>
        <w:spacing w:before="0" w:after="120" w:line="340" w:lineRule="auto"/>
      </w:pPr>
      <w:r>
        <w:t xml:space="preserve">This agreement is effective as of the Effective Date listed in Cover Terms. Employee may consult an attorney before entering into this agreement and should be given a genuine opportunity to do so; because Virginia courts construe every ambiguity in a restrictive covenant against the drafter, a demand for signature on the first day is disfavored. Virginia's staged authorities do not settle whether continued at-will employment, standing alone, is adequate consideration for a covenant signed mid-employment, so the parties should document what consideration moved for any covenant Employee signs after employment begins.</w:t>
      </w:r>
    </w:p>
    <w:p>
      <w:pPr>
        <w:pStyle w:val="OABody"/>
        <w:numPr>
          <w:ilvl w:val="1"/>
          <w:numId w:val="1"/>
        </w:numPr>
        <w:spacing w:before="0" w:after="120" w:line="340" w:lineRule="auto"/>
      </w:pPr>
      <w:r>
        <w:t xml:space="preserve">Employer acknowledges its standing obligation under Va. Code § 40.1-28.7:8(G) to post a copy of that section, or a summary approved by the Department, in the same location where other employee notices required by state or federal law are posted. That posting is a workplace compliance artifact that travels with this covenant program and exists independently of this agreement.</w:t>
      </w:r>
    </w:p>
    <w:p>
      <w:pPr>
        <w:pStyle w:val="OABody"/>
        <w:keepNext/>
        <w:numPr>
          <w:ilvl w:val="0"/>
          <w:numId w:val="1"/>
        </w:numPr>
        <w:spacing w:before="320" w:after="120" w:line="340" w:lineRule="auto"/>
        <w:jc w:val="left"/>
      </w:pPr>
      <w:r>
        <w:rPr>
          <w:b/>
          <w:bCs/>
        </w:rPr>
        <w:t xml:space="preserve">Virginia Statutory Worker-Protection Gates</w:t>
      </w:r>
    </w:p>
    <w:p>
      <w:pPr>
        <w:pStyle w:val="OABody"/>
        <w:numPr>
          <w:ilvl w:val="1"/>
          <w:numId w:val="1"/>
        </w:numPr>
        <w:spacing w:before="0" w:after="120" w:line="340" w:lineRule="auto"/>
      </w:pPr>
      <w:r>
        <w:t xml:space="preserve">No covenant in this agreement is entered into, enforced, or threatened to be enforced against Employee to the extent Va. Code § 40.1-28.7:8 prohibits it. In particular:</w:t>
      </w:r>
    </w:p>
    <w:p>
      <w:pPr>
        <w:pStyle w:val="OABody"/>
        <w:numPr>
          <w:ilvl w:val="1"/>
          <w:numId w:val="1"/>
        </w:numPr>
        <w:spacing w:before="0" w:after="120" w:line="340" w:lineRule="auto"/>
      </w:pPr>
      <w:r>
        <w:t xml:space="preserve">(a) No covenant not to compete in this agreement applies to or is enforceable against Employee if Employee is a low-wage employee — meaning, for the applicable year, an employee whose average weekly earnings are less than the Low-Wage Threshold listed in Cover Terms, and including an intern, student, apprentice, or trainee and a lower-paid independent contractor, but excluding an employee whose earnings are derived in whole or predominant part from sales commissions, incentives, or bonuses (Va. Code § 40.1-28.7:8(A), (B)).</w:t>
      </w:r>
    </w:p>
    <w:p>
      <w:pPr>
        <w:pStyle w:val="OABody"/>
        <w:numPr>
          <w:ilvl w:val="1"/>
          <w:numId w:val="1"/>
        </w:numPr>
        <w:spacing w:before="0" w:after="120" w:line="340" w:lineRule="auto"/>
      </w:pPr>
      <w:r>
        <w:t xml:space="preserve">(b) For covenants entered into on or after July 1, 2025, no covenant not to compete applies to or is enforceable against Employee if Employee is entitled to overtime compensation under 29 U.S.C. § 207 for hours worked over 40 in a workweek, regardless of Employee's average weekly earnings (Va. Code § 40.1-28.7:8(A)).</w:t>
      </w:r>
    </w:p>
    <w:p>
      <w:pPr>
        <w:pStyle w:val="OABody"/>
        <w:numPr>
          <w:ilvl w:val="1"/>
          <w:numId w:val="1"/>
        </w:numPr>
        <w:spacing w:before="0" w:after="120" w:line="340" w:lineRule="auto"/>
      </w:pPr>
      <w:r>
        <w:t xml:space="preserve">(c) No covenant in this agreement restricts Employee from providing a service to a customer or client of Employer if Employee does not initiate contact with or solicit that customer or client (Va. Code § 40.1-28.7:8(A)).</w:t>
      </w:r>
    </w:p>
    <w:p>
      <w:pPr>
        <w:pStyle w:val="OABody"/>
        <w:numPr>
          <w:ilvl w:val="1"/>
          <w:numId w:val="1"/>
        </w:numPr>
        <w:spacing w:before="0" w:after="120" w:line="340" w:lineRule="auto"/>
      </w:pPr>
      <w:r>
        <w:t xml:space="preserve">Employer acknowledges that a covered worker may bring a civil action within a two-year window and that a court may void the covenant, enjoin conduct, and award liquidated damages, lost compensation, damages, and reasonable attorney fees and costs, that a plaintiff who proves a violation recovers reasonable costs, expert fees, and attorney fees, and that the Commissioner may assess a civil penalty of $10,000 for each violation of the ban (Va. Code § 40.1-28.7:8(D)–(F)).</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for the period specified in Cover Terms under Trade Secrets Duration, which is intended to last as long as the information remains a trade secret, consistent with the continued-secrecy element of Va. Code § 59.1-336. Employee's obligations regarding other Confidential Information continue for the period specified in Cover Terms under Other Confidential Information Duration. Consistent with Va. Code § 40.1-28.7:8(C), which preserves nondisclosure agreements intended to prohibit the taking, misappropriating, or sharing of trade secrets and proprietary or confidential information, this section is a nondisclosure obligation and is not a covenant not to compete; it does not prohibit Employee from using information that arises from Employee's general training, knowledge, skill, or experience, information that is readily ascertainable to the public, or information that Employee otherwise has a right to disclose as legally protected conduct.</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including Section 7 of the National Labor Relations Act, 29 U.S.C. § 157; (d) testifying truthfully in legal proceedings; (e) disclosing information that arises from Employee's general training, knowledge, skill, or experience, information readily ascertainable to the public, or information Employee otherwise has a right to disclose as legally protected conduct; or (f)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 Because Virginia steers employers toward trade-secret remedies rather than broad work bans, this written certification is contemporaneous evidence of what Employee kept or returned if protected material later surfaces at a competitor.</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Employee must not Solicit, recruit, hire, or attempt to hire any Covered Employee. This restriction is limited to initiating contact with or actively soliciting Covered Employees; it does not prohibit Employee from providing a professional reference upon request or from hiring a person who responds to a general advertisement not directed specifically at Employer's employees. Employer acknowledges that in Sentry Force Sec., LLC v. Barrera (Va. Ct. App. Jan. 27, 2026) (unpublished), the Court of Appeals read Va. Code § 40.1-28.7:8 to prevent enforcing a covenant barring a departed protected worker from soliciting the employer's other employees; accordingly, this covenant does not apply to and is not enforceable against Employee to the extent Employee is a low-wage employee or an overtime-eligible employee within the meaning of that section.</w:t>
      </w:r>
    </w:p>
    <w:p>
      <w:pPr>
        <w:pStyle w:val="OABody"/>
        <w:keepNext/>
        <w:numPr>
          <w:ilvl w:val="0"/>
          <w:numId w:val="1"/>
        </w:numPr>
        <w:spacing w:before="320" w:after="120" w:line="340" w:lineRule="auto"/>
        <w:jc w:val="left"/>
      </w:pPr>
      <w:r>
        <w:rPr>
          <w:b/>
          <w:bCs/>
        </w:rPr>
        <w:t xml:space="preserve">Non-Solicitation of Customers, Vendors, Referral Sources, and Business Partners</w:t>
      </w:r>
    </w:p>
    <w:p>
      <w:pPr>
        <w:pStyle w:val="OABody"/>
        <w:spacing w:before="0" w:after="120" w:line="340" w:lineRule="auto"/>
        <w:ind w:left="720"/>
      </w:pPr>
      <w:r>
        <w:t xml:space="preserve">During the Restricted Period, Employee must not Solicit the business of any Covered Customer. This covenant reaches only Employee's own initiation of contact with or solicitation of a Covered Customer; it does not restrict Employee from providing a service to a Covered Customer who initiates contact with Employee and whom Employee did not solicit. That limit tracks the customer-initiated-business carve-out of Va. Code § 40.1-28.7:8(A), which the Court of Appeals in Sentry Force Sec., LLC v. Barrera (unpublished, 2026) read to permit a bar on a former worker's own direct solicitation while leaving customer-initiated business open to the worker. This covenant is included to protect Employer's Protected Interests and is drawn no broader than reasonably necessary to protect them.</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regardless of whether Employee or the Covered Customer first initiated contact. This restriction is broader than non-solicitation because it applies even if the Covered Customer approaches Employee. Employer acknowledges that Va. Code § 40.1-28.7:8(A) protects a covered worker's right to serve a customer the worker did not initiate contact with or solicit, so this covenant does not apply to and is not enforceable against Employee to the extent Employee is a low-wage or overtime-eligible employee within the meaning of that section; the parties include this covenant only for a worker outside the protected class, where a genuine Protected Interest supports it, and drawn no broader than reasonably necessary to protect that interest.</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within the Restricted Territory, engage in, be employed by, consult for, or have an active ownership interest in any Competitive Business, in a role the same as or similar to the role Employee performed for Employer. This covenant does not bar Employee from serving a Competitive Business in any and every capacity; its function is confined to the activities Employee actually performed for Employer, consistent with Home Paramount Pest Control Cos. v. Shaffer, 282 Va. 412 (2011), and Motion Control Sys., Inc. v. East, 262 Va. 33 (2001). This covenant applies, and is enforceable, only if Employee is not a low-wage employee, not an overtime-eligible employee, and (for agreements entered into on or after July 1, 2026) not a health care professional within the meaning of Va. Code § 40.1-28.7:8, and only as a restraint no greater than necessary to protect a Protected Interest, not unduly harsh on Employee's ability to earn a livelihood, and consistent with sound public policy. Employer bears the burden of establishing that the covenant satisfies this test. Passive Public Holdings are permitted.</w:t>
      </w:r>
    </w:p>
    <w:p>
      <w:pPr>
        <w:pStyle w:val="OABody"/>
        <w:keepNext/>
        <w:numPr>
          <w:ilvl w:val="0"/>
          <w:numId w:val="1"/>
        </w:numPr>
        <w:spacing w:before="320" w:after="120" w:line="340" w:lineRule="auto"/>
        <w:jc w:val="left"/>
      </w:pPr>
      <w:r>
        <w:rPr>
          <w:b/>
          <w:bCs/>
        </w:rPr>
        <w:t xml:space="preserve">Narrowing by Specified Competitors</w:t>
      </w:r>
    </w:p>
    <w:p>
      <w:pPr>
        <w:pStyle w:val="OABody"/>
        <w:spacing w:before="0" w:after="120" w:line="340" w:lineRule="auto"/>
        <w:ind w:left="720"/>
      </w:pPr>
      <w:r>
        <w:t xml:space="preserve">Where Cover Terms list Specified Competitors, the non-competition covenant is limited to those named competitors and their affiliates rather than an open-ended competitive-business definition. Naming Employer's real competitors is evidence the covenant reaches no further than the Protected Interests require; it matters in Virginia because a similar-business definition that sweeps in enterprises unrelated to Employer's business is unenforceable and a court will not trim it back (Motion Control Sys., Inc. v. East, 262 Va. 33 (2001)).</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Passive Public Holdings are permitted. Because this covenant restrains active roles at and material participation in a Competitive Business, it functions as a covenant not to compete under Va. Code § 40.1-28.7:8 and the Omniplex test; it therefore applies, and is enforceable, only if Employee is not a low-wage, overtime-eligible, or (from July 1, 2026) health care professional worker protected by that section, and only as a restraint no broader than necessary to protect a Protected Interest and not unduly harsh on Employee's ability to earn a livelihood.</w:t>
      </w:r>
    </w:p>
    <w:p>
      <w:pPr>
        <w:pStyle w:val="OABody"/>
        <w:keepNext/>
        <w:numPr>
          <w:ilvl w:val="0"/>
          <w:numId w:val="1"/>
        </w:numPr>
        <w:spacing w:before="320" w:after="120" w:line="340" w:lineRule="auto"/>
        <w:jc w:val="left"/>
      </w:pPr>
      <w:r>
        <w:rPr>
          <w:b/>
          <w:bCs/>
        </w:rPr>
        <w:t xml:space="preserve">Without-Cause Termination — Severance and Disclosed Compensation</w:t>
      </w:r>
    </w:p>
    <w:p>
      <w:pPr>
        <w:pStyle w:val="OABody"/>
        <w:spacing w:before="0" w:after="120" w:line="340" w:lineRule="auto"/>
        <w:ind w:left="720"/>
      </w:pPr>
      <w:r>
        <w:t xml:space="preserve">For agreements entered into, amended, or renewed on or after July 1, 2026, a covenant not to compete is unenforceable if Employer discharges Employee without cause without providing severance benefits or other monetary payment, and that severance or payment must be disclosed upon execution of the covenant (Va. Code § 40.1-28.7:8(C), as added by 2026 Va. Acts ch. 883 (S.B. 170), eff. July 1, 2026). Accordingly, if Employer discharges Employee without cause, Employer will provide Employee the Without-Cause Severance / Disclosed Compensation stated in Cover Terms, which the parties disclose and agree upon at execution of this agreement. This without-cause economics term is stated on the face of this agreement rather than improvised at termination. For agreements entered into, amended, or renewed before July 1, 2026, this section states Employer's voluntary commitment and does not reflect a then-applicable statutory condition.</w:t>
      </w:r>
    </w:p>
    <w:p>
      <w:pPr>
        <w:pStyle w:val="OABody"/>
        <w:keepNext/>
        <w:numPr>
          <w:ilvl w:val="0"/>
          <w:numId w:val="1"/>
        </w:numPr>
        <w:spacing w:before="320" w:after="120" w:line="340" w:lineRule="auto"/>
        <w:jc w:val="left"/>
      </w:pPr>
      <w:r>
        <w:rPr>
          <w:b/>
          <w:bCs/>
        </w:rPr>
        <w:t xml:space="preserve">Health Care Professional Exclusion</w:t>
      </w:r>
    </w:p>
    <w:p>
      <w:pPr>
        <w:pStyle w:val="OABody"/>
        <w:spacing w:before="0" w:after="120" w:line="340" w:lineRule="auto"/>
        <w:ind w:left="720"/>
      </w:pPr>
      <w:r>
        <w:t xml:space="preserve">For agreements entered into, amended, or renewed on or after July 1, 2026, and notwithstanding any other provision of this agreement, no covenant not to compete in this agreement applies to or is enforceable against Employee if Employee is a health care professional — meaning any person licensed, registered, or certified by the Board of Medicine, Nursing, Counseling, Optometry, Psychology, or Social Work — and no earnings level restores the covenant for such a worker (2026 Va. Acts ch. 1114 (S.B. 128), eff. July 1, 2026). For agreements entered into, amended, or renewed before that date, a health care professional is analyzed like any other Virginia worker: the statutory ban is applied first, then the common-law reasonableness test.</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discussing wages, hours, or working conditions as protected by law, or otherwise exercising rights protected by law.</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 The parties acknowledge that a covenant Employee signed with another employer may be unenforceable against Employee to the extent Employee is a worker protected by Va. Code § 40.1-28.7:8.</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 prospective employer or business associate of Employee only where a covenant in this agreement is enforceable against Employee. Employer will not present, assert, or threaten to enforce against a protected worker any covenant that Va. Code § 40.1-28.7:8 voids, because even threatening to enforce a covenant against a low-wage employee is itself a violation of the statute that carries a $10,000 civil penalty for each violation (Va. Code § 40.1-28.7:8(B), (E)). Employee consents to a disclosure permitted by this section.</w:t>
      </w:r>
    </w:p>
    <w:p>
      <w:pPr>
        <w:pStyle w:val="OABody"/>
        <w:keepNext/>
        <w:numPr>
          <w:ilvl w:val="0"/>
          <w:numId w:val="1"/>
        </w:numPr>
        <w:spacing w:before="320" w:after="120" w:line="340" w:lineRule="auto"/>
        <w:jc w:val="left"/>
      </w:pPr>
      <w:r>
        <w:rPr>
          <w:b/>
          <w:bCs/>
        </w:rPr>
        <w:t xml:space="preserve">Tolling During Breach</w:t>
      </w:r>
    </w:p>
    <w:p>
      <w:pPr>
        <w:pStyle w:val="OABody"/>
        <w:spacing w:before="0" w:after="120" w:line="340" w:lineRule="auto"/>
        <w:ind w:left="720"/>
      </w:pPr>
      <w:r>
        <w:t xml:space="preserve">The Restricted Period for each covenant runs from the date Employee's employment ends and is not extended by any period of breach. The parties acknowledge that no staged Virginia authority establishes that a restricted period tolls during breach or that an extension clause is enforceable, and that against Virginia's strict-construction backdrop a clause that could stretch the restricted period indefinitely would itself raise an overbreadth risk (Motion Control Sys., Inc. v. East, 262 Va. 33 (2001); Home Paramount Pest Control Cos. v. Shaffer, 282 Va. 412 (2011)). The parties therefore state a fixed period rather than a tolling or extension mechanism.</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and Employer may seek injunctive or other equitable relief in addition to any other remedies available at law. The parties acknowledge that a Virginia restraint is neither enforceable nor unenforceable in a factual vacuum, so enforceability generally turns on an evidentiary record rather than the pleadings, and no recital substitutes for that showing (Assurance Data, Inc. v. Malyevac, 286 Va. 137 (2013)). Any fee-shifting between the parties is mutual and prevailing-party based; Employer acknowledges that Va. Code § 40.1-28.7:8(F) already entitles a protected worker who proves a violation to recover reasonable costs, expert fees, and attorney fees from Employer.</w:t>
      </w:r>
    </w:p>
    <w:p>
      <w:pPr>
        <w:pStyle w:val="OABody"/>
        <w:keepNext/>
        <w:numPr>
          <w:ilvl w:val="0"/>
          <w:numId w:val="1"/>
        </w:numPr>
        <w:spacing w:before="320" w:after="120" w:line="340" w:lineRule="auto"/>
        <w:jc w:val="left"/>
      </w:pPr>
      <w:r>
        <w:rPr>
          <w:b/>
          <w:bCs/>
        </w:rPr>
        <w:t xml:space="preserve">Enforceability and Severability</w:t>
      </w:r>
    </w:p>
    <w:p>
      <w:pPr>
        <w:pStyle w:val="OABody"/>
        <w:spacing w:before="0" w:after="120" w:line="340" w:lineRule="auto"/>
        <w:ind w:left="720"/>
      </w:pPr>
      <w:r>
        <w:t xml:space="preserve">If any provision of this agreement is found to be unenforceable, the remaining provisions remain in full force and effect. Each restrictive covenant in this agreement is intended to be independently enforceable and is drawn in separable tiers so that an unenforceable covenant does not affect the others.</w:t>
      </w:r>
    </w:p>
    <w:p>
      <w:pPr>
        <w:pStyle w:val="OABody"/>
        <w:keepNext/>
        <w:numPr>
          <w:ilvl w:val="0"/>
          <w:numId w:val="1"/>
        </w:numPr>
        <w:spacing w:before="320" w:after="120" w:line="340" w:lineRule="auto"/>
        <w:jc w:val="left"/>
      </w:pPr>
      <w:r>
        <w:rPr>
          <w:b/>
          <w:bCs/>
        </w:rPr>
        <w:t xml:space="preserve">No Reliance on Judicial Reformation</w:t>
      </w:r>
    </w:p>
    <w:p>
      <w:pPr>
        <w:pStyle w:val="OABody"/>
        <w:spacing w:before="0" w:after="120" w:line="340" w:lineRule="auto"/>
        <w:ind w:left="720"/>
      </w:pPr>
      <w:r>
        <w:t xml:space="preserve">Virginia courts strictly construe restrictive covenants, resolve ambiguity in the employee's favor, and do not rewrite an overbroad covenant into an enforceable one; clear overbreadth in one element cannot be saved by narrow tailoring of the others, and the employer is limited to defending the language it chose (Home Paramount Pest Control Cos. v. Shaffer, 282 Va. 412 (2011); Motion Control Sys., Inc. v. East, 262 Va. 33 (2001)). This agreement does not rely on any savings or reformation clause to cure overbreadth and does not purport to obligate a court to narrow any covenant. Each restrictive covenant is instead drawn within the enforceable scope Virginia law permits at the outset, with separable, independently sized covenants preferred over one broad clause backstopped by a savings provision.</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for that covenant, so that each covenant's clock is independently checkable and a covenant drafted to the statutory line can survive even if a broader covenant fails. Obligations under the Confidential Information and Trade Secret Protection section survive as long as the relevant information remains a trade secret. All other provisions survive to the extent necessary to enforce rights that arose during employment.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Any assignee takes the covenants subject to Va. Code § 40.1-28.7:8: a successor enforcing against a protected worker inherits the statutory bar along with the contract, and a successor enforcing against any other worker inherits Employer's burden of justifying the language as written. This agreement is binding on and inures to the benefit of the parties and their respective heirs, successors, and permitted assigns.</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For a workforce living and working in Virginia, the parties name Virginia law and a Virginia forum: Virginia's staged authorities identify no statutory override of a foreign choice-of-law clause, but a selection designed to sidestep the low-wage ban for a worker living and working in Virginia invites a public-policy challenge, so the parties do not use a foreign choice of law to evade Va. Code § 40.1-28.7:8. All disputes will be resolved in the courts of the Governing Law state, subject to non-waivable rights under applicable law.</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the parties acknowledge that the SB 170 severance rule and the SB 128 / HB 627 health-care ban reach agreements entered into, amended, or renewed on or after July 1, 2026, so a routine amendment or renewal of an older covenant pulls it into that regime and the without-cause severance economics must be in place before the amendment or renewal takes effect.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(Virginia)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(Virginia)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(Virginia)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