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Vermont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Vermont covenant may protect under the Andrus reasonableness rule, namely Employer's Confidential Information, Employer's trade secrets as defined by the Vermont Trade Secrets Act (9 V.S.A. §§ 4601–4609), and Employer's goodwill in its customer, vendor, referral-source, and business-partner relationships, which Vermont recognizes as protectable interests broader than trade secrets and confidential customer information (Sys. &amp; Software, Inc. v. Barnes, 2005 VT 95, ¶ 5),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to "trade secret" in the Vermont Trade Secrets Act, 9 V.S.A. §§ 4601–4609.</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Vermont has no general non-compete statute; enforceability is governed by the common-law reasonableness rule of Vermont Electric Supply Co. v. Andrus, 132 Vt. 195, 315 A.2d 456 (1974), under which enforcement will be ordered unless the agreement is contrary to public policy, unnecessary for protection of the employer, or unnecessarily restrictive of the rights of the employee, with due regard to the subject matter of the contract and the circumstances of performance. Vermont courts frame that test through Restatement (Second) of Contracts § 188(1), which makes a restraint unreasonable if it is greater than is needed to protect the employer's legitimate interest or if that need is outweighed by the hardship to the employee and the likely injury to the public, and they proceed with caution when asked to enforce covenants against competitive employment (Sys. &amp; Software, Inc. v. Barnes, 2005 VT 95, 178 Vt. 389, 886 A.2d 762). The parties acknowledge that each covenant is meant to guard Employer's Confidential Information, trade secrets, and customer goodwill and not to eliminate ordinary competition, and that Employer would not provide Employee with access to these Protected Interests absent the protections in this agreement.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continued employment alone is sufficient consideration to support the covenants in this agreement, because Vermont adopts the majority rule that continued employment alone is sufficient consideration to support a covenant not to compete entered into during an at-will employment relationship (Summits 7, Inc. v. Kelly, 2005 VT 97, ¶ 18, 178 Vt. 396, 886 A.2d 365); no separate payment, raise, or promotion is required as a matter of doctrine.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Andrus reasonableness test on time, territory, and scope, and the employer bears the burden of proving the reasonable necessity of the restrictive covenant (Summits 7, ¶ 14).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Vermont law, including the Vermont Trade Secrets Act, 9 V.S.A. §§ 4601–4609, under which a court may enjoin actual or threatened misappropriation of a trade secret, and an injunction is terminated when the trade secret ceases to exist but may be continued for an additional reasonable period to eliminate commercial advantage that otherwise would be derived from the misappropriation (9 V.S.A. § 4602(a)).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reduce the risk of actual or threatened misappropriation and give Employer conduct-specific proof if injunctive relief is ever needed under the Vermont Trade Secrets Act, 9 V.S.A. § 4602(a).</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As the lightest restraint in this agreement, this covenant is analyzed under the Andrus reasonableness rule and reaches only Covered Employees during the Restricted Period, no broader than necessary to protect Employer's workforce stability and goodwill. The parties acknowledge that where a hiring restraint operates between businesses — such as a franchisor no-poach provision — it may be policed outside the common-law covenant framework by state enforcement authorities.</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Vermont courts analyze this customer non-solicitation covenant under the Andrus reasonableness rule (Vermont Electric Supply Co. v. Andrus, 132 Vt. 195, 315 A.2d 456 (1974)); it reaches only Covered Customers with whom Employee had material contact and is no broader than necessary to protect Employer's goodwill in its customer relationships, which Vermont recognizes as a protectable interest broader than trade secrets and confidential customer information (Sys. &amp; Software, Inc. v. Barnes, 2005 VT 95, ¶ 5). This covenant maps directly onto Employer's customer-goodwill interest and, together with the confidentiality and trade-secret protections in this agreement,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and because it presses harder on both prongs of the Restatement framing adopted in Barnes — more restraint than the interest needs, and more hardship and public injury on the other side of the scale — it is sized tightly to the goodwill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Confidential Information, trade secrets, and customer goodwill — and not to restrain ordinary competition. Consistent with the Andrus reasonableness rule and its Restatement (Second) of Contracts § 188(1) framing in Barnes, the parties intend this covenant to be no greater than is needed to protect Employer's legitimate interest, to impose no undue hardship on Employee, and to cause no injury to the public, with its time and territory sized to Employee's actual role and Employer's actual market and, as Roy's Orthopedic (1982) requires, tied to a determinable place.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required.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Andrus reasonableness rule and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licensed healthcare professional, any covenant in this agreement restraining Employee from practicing is drafted against the same Andrus reasonableness test that governs every other Vermont covenant, and not as a categorically prohibited restraint. As of the drafting of this template, Vermont has no enacted statute banning healthcare non-competes; a physician or other healthcare-professional covenant runs through the reasonableness test, and the employer carries the same burden of proving reasonable necessity, with the public-interest prong weighing patient access and continuity of care. Accordingly, any healthcare-professional covenant in this agreement is intended to use a narrow radius and a short term, to preserve patient access and continuity of care, and to be enforced only to the extent it survives the Andrus reasonableness rule. This agreement does not assume any pending legislation; the parties acknowledge that legislation affecting healthcare-professional covenants may be enacted and that this section should be re-reviewed on any such enactment.</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notice built on a covenant that later fails the Andrus reasonableness analysis may expose Employer to a claim, and that it should condition any such notice on a restraint it is prepared to defend as consistent with public policy, necessary for its protection, and no more restrictive of Employee than that protection requires.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parties intend that the Restricted Period for that covenant be extended by one day for each day of the breach, so that the full duration of the restriction runs from the date the breach ends. The parties acknowledge that Vermont law does not supply this extension by default: the Vermont Supreme Court has refused to extend a covenant's time period after litigation delay ran out the clock, holding that the term of the noncompetition agreement was a matter of contract between the parties and that the court will construe contracts but will not make them for the parties, and it declined to recharacterize the extension as a postponed commencement date (Roy's Orthopedic, Inc. v. Lavigne, 145 Vt. 324, 487 A.2d 173 (1985)). This express tolling term is therefore stated in the contract itself rather than left to a court to imply, and any such extension is itself a restraint that must remain reasonable and bounded under the Andrus rule; the parties do not intend an open-ended or indefinite extension.</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Vermont Trade Secrets Act, 9 V.S.A. § 4602(a), under which actual or threatened misappropriation of a trade secret may be enjoined independent of any covenant. The parties acknowledge that this statutory standard demands conduct- or threat-specific proof of actual or threatened misappropriation and does not follow from the bare fact that Employee has taken a new position, and that Vermont has not adopted inevitable disclosure as a standalone basis for enjoining a former employee. Any fee-shifting the parties add should be mutual and prevailing-party based; absent an express provision, the American Rule applies and each party bears its own attorney fees and costs.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does not affect the others. The parties intend this severability clause to operate as a backstop and not as a strategy for judicial narrowing: each covenant is drafted to a defensible scope, geography, and duration at the outset rather than in reliance on a court trimming an overbroad restraint.</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Vermont law on judicial narrowing of an overbroad covenant is unsettled, and this agreement does not rely on a court to rescue an overbroad restraint. The conservative anchor is Roy's Orthopedic, Inc. v. Lavigne, 145 Vt. 324, 487 A.2d 173 (1985): the term of the noncompetition agreement is a matter of contract between the parties, and the court will construe contracts but will not make them for the parties. The contrary signal is dicta only — Summits 7, Inc. v. Kelly, 2005 VT 97, ¶ 23, observes that most modern courts agree a trial court can enforce restrictive covenants to the extent they are reasonable, and A.N. Deringer, Inc. v. Strough, 103 F.3d 243, 247-48 (2d Cir. 1996), predicted that Vermont would permit enforcement of a defective restrictive covenant to the limit of its validity. Because neither strand gives the parties a narrowing right to rely on, each restrictive covenant in this agreement is drawn as a tiered, severable, reasonable restraint sized to the Protected Interests from the start and is intended to be enforceable as written. If any restraint is nonetheless found overbroad, Employer requests that the covenant be enforced to the extent reasonable to the degree Vermont law permits; the parties do not treat that request as a substitute for drafting within a defensible scope.</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The parties acknowledge that Vermont takes a covenant's stated term literally — in the leading single-county case the restrictions were at an end after five years (Vermont Electric Supply Co. v. Andrus, 132 Vt. 195, 199, 315 A.2d 456, 458 (1974)) — so each covenant's duration is stated in Cover Terms and no covenant is intended to revive after its stated term has run.</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include this express assignment and successor language because Vermont treats a restrictive covenant as a distinct, negotiated term rather than an automatic incident of a transaction (Miller v. Flegenheimer, 2016 VT 125, ¶ 21, 203 Vt. 620, 161 A.3d 524); a covenant's transfer in any sale should be papered explicitly, and the enforcing business inherits the Andrus reasonableness analysis re-measured against its own actual market. Where a covenant is ancillary to the sale of a business, Vermont gives it more breathing room on duration and geography when it is supported by dedicated transaction consideration and sized to the acquired goodwill: a five-year, twenty-five-mile covenant delivered at closing with consideration paid for the covenant alone was reasonable as to time and place (Fine Foods, Inc. v. Dahlin, 147 Vt. 599, 523 A.2d 1228 (1986)), and a five-year covenant with dedicated consideration is treated as a bargained-for transaction asset (Foti Fuels, Inc. v. Kurrle Corp., 2013 VT 111, 195 Vt. 524, 90 A.3d 885).</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Vermont law governs, the enforceability of each restrictive covenant is determined under the common-law reasonableness rule of Vermont Electric Supply Co. v. Andrus and its progeny; there is no general Vermont non-compete statute and no statutory safe harbor, so each covenant is drafted to survive the holistic reasonableness analysis rather than to escape it. The parties further acknowledge two categorical Vermont bars that no drafting can cure: a school of barbering or cosmetology may not require a covenant not to compete as a condition of training for licensure (26 V.S.A. § 281(c)), and a partnership, shareholders, operating, or employment agreement may not restrict a lawyer's right to practice after termination of the relationship, except concerning retirement benefits, nor may a restriction on a lawyer's right to practice be part of the settlement of a client controversy (Vt. R. Prof. Conduct 5.6). Disputes will be resolved in the courts of the Governing Law state, subject to non-waivable rights under applicable law.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The parties confirm that every covenant term — duration, geography, scope, and consideration — is closed in this agreement rather than deferred to a side understanding, because in Vermont leaving material covenant terms open, including whether a deal carries a non-compete at all, can defeat contract formation (Miller v. Flegenheimer, 2016 VT 125, ¶ 21, 203 Vt. 620, 161 A.3d 524).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(Vermont)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(Vermont)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(Vermont)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