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Tennessee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the general knowledge, skill, and experience Employee acquired during employment.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special facts, over and above ordinary competition, that a Tennessee covenant may protect, namely Employer's Confidential Information, Employer's trade secrets as protected by the Tennessee Uniform Trade Secrets Act (Tenn. Code Ann. §§ 47-25-1701 to 47-25-1709), Employer's investment in special training provided to Employee, and Employer's customer relationships in which Employee is the face of Employer's business, but not Employer's interest in avoiding ordinary competition.</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Tennessee Uniform Trade Secrets Act, Tenn. Code Ann. § 47-25-1702.</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Tennessee treats covenants not to compete as disfavored restraints of trade that are nonetheless not invalid per se and may be enforced when reasonable under the particular circumstances (Hasty v. Rent-A-Driver, Inc., 671 S.W.2d 471 (Tenn. 1984)). The parties acknowledge that a covenant may not be used to restrain ordinary competition and that Employer relies on special facts present over and above ordinary competition — its Confidential Information and trade secrets, its investment in special training, and its customer relationships in which Employee is the face of the business — and would not provide Employee with access to these Protected Interests absent the protections in this agreement. Each covenant is intended to be no greater in time, territory, and scope than is required to protect Employer's business interest, weighed against the consideration supporting this agreement, the threatened danger to Employer in the absence of the covenant, the economic hardship imposed on Employee, and the public interest (Allright Auto Parks, Inc. v. Berry, 409 S.W.2d 361 (Tenn. 1966)).</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and record the timing of its execution. If this agreement is signed at the outset of employment, the offer and commencement of employment is the consideration. If Employee is an existing employee signing after hire, the parties agree that Employee's continued employment for an appreciable length of time is consideration for the covenants, consistent with Central Adjustment Bureau, Inc. v. Ingram, 678 S.W.2d 28 (Tenn. 1984), which held such covenants binding because of the length of each employee's continued employment; where continued employment is brief, Employer intends to provide, and this recital should identify, separate consideration for the covenants. Employer has given Employee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Tennessee reasonableness test on the protectable interest, time, territory, and scope.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Tennessee law, including the Tennessee Uniform Trade Secrets Act, Tenn. Code Ann. §§ 47-25-1701 to 47-25-1709, under which a contractual duty to maintain secrecy or limit use of a trade secret is not void or unenforceable solely for lack of a durational or geographical limitation (Tenn. Code Ann. § 47-25-1708(b)(1)). This confidentiality obligation is intended to operate alongside, and independent of, any restrictive covenant, and does not restrict Employee's use of the general knowledge, skill, and experience Employee acquired during employment.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provide contemporaneous evidence of Employer's efforts to protect its Confidential Information and trade secrets — the special facts on which a Tennessee covenant depends.</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An employee non-solicitation agreement is expressly preserved from the 2026 statute's non-compete rules (Tenn. Code Ann. § 50-1-210(c)); this covenant is drawn to stay within that preserved category, reaching only Covered Employees the departing Employee actually worked with or managed, and it does not operate as a workforce-wide hiring ban.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A client or customer non-solicitation agreement is expressly preserved from the 2026 statute's non-compete rules (Tenn. Code Ann. § 50-1-210(c)); this covenant is drawn to stay within that preserved category, reaching only Covered Customers with whom Employee had material contact and mapping directly onto Employer's interest in the customer relationships in which Employee was the face of the business. Together with the confidentiality and trade-secret protections in this agreement, a customer non-solicit is often a stronger and more readily enforceable protection than a broad non-compete, and it must not be drawn so broadly that it effectively bars Employee from competing at all.</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The 2026 statute's preserved list names confidentiality and non-solicitation agreements but not a non-dealing covenant (Tenn. Code Ann. § 50-1-210(c)), so a court may analyze this covenant under the disfavored-restraint framework rather than under the carve-out; it is therefore sized tightly to the customer relationships it protects and reaches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the special facts over and above ordinary competition on which a Tennessee covenant depends — and not to restrain ordinary competition (Hasty v. Rent-A-Driver, Inc., 671 S.W.2d 471 (Tenn. 1984)). Consistent with Allright Auto Parks, Inc. v. Berry, 409 S.W.2d 361 (Tenn. 1966), the parties intend this covenant to be no greater in time and territory than is required to protect Employer's business interest, weighed against the consideration, the threatened danger to Employer, the hardship on Employee, and the public interest. For a covenant governed by the 2026 statute — one entered into, renewed, or amended on or after July 1, 2026 — the Restricted Period is intended to stay within the applicable presumption window of Tenn. Code Ann. § 50-1-210, which a court applies as a rebuttable presumption and beyond which a longer term is presumed unreasonable in time; a within-window term is presumed reasonable in time only, and geography and the protectable interest remain to be tested. This covenant is also subject to the compensation threshold and worker exclusions stated below.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required. Passive Public Holdings are permitted.</w:t>
      </w:r>
    </w:p>
    <w:p>
      <w:pPr>
        <w:pStyle w:val="OABody"/>
        <w:keepNext/>
        <w:numPr>
          <w:ilvl w:val="0"/>
          <w:numId w:val="1"/>
        </w:numPr>
        <w:spacing w:before="320" w:after="120" w:line="340" w:lineRule="auto"/>
        <w:jc w:val="left"/>
      </w:pPr>
      <w:r>
        <w:rPr>
          <w:b/>
          <w:bCs/>
        </w:rPr>
        <w:t xml:space="preserve">Compensation Threshold and Workers Exempt from the Non-Compete</w:t>
      </w:r>
    </w:p>
    <w:p>
      <w:pPr>
        <w:pStyle w:val="OABody"/>
        <w:spacing w:before="0" w:after="120" w:line="340" w:lineRule="auto"/>
        <w:ind w:left="720"/>
      </w:pPr>
      <w:r>
        <w:t xml:space="preserve">Notwithstanding any other provision of this agreement, and for a covenant governed by 2026 Tenn. Pub. Acts ch. 934 — one entered into, renewed, or amended on or after July 1, 2026, or enforced in a proceeding occurring on or after that date — the non-compete restriction is not enforceable against, and Employer will not require, request, or enforce it against, Employee if Employee's annualized compensation is less than seventy thousand dollars ($70,000); a non-compete executed in violation of that bar is void and unenforceable as a matter of public policy (Tenn. Code Ann. § 50-1-211(a), (c)). For this purpose, annualized compensation includes wages, salary, commissions, nondiscretionary bonuses, and other remuneration, and for an hourly employee is calculated by multiplying the hourly rate by forty and the product by fifty-two (Tenn. Code Ann. § 50-1-211(b)(2)). In addition, and regardless of Employee's compensation, duration, or territory, the non-compete restriction does not apply to and is void against Employee if Employee is a physician who specializes in the practice of emergency medicine: the health-care safe harbor does not reach emergency-medicine physicians (Tenn. Code Ann. § 63-1-148(d)), and except as specifically prescribed by statute, physicians' covenants not to compete are unenforceable and void (Murfreesboro Medical Clinic, P.A. v. Udom, 166 S.W.3d 674 (Tenn. 2005)). The other restrictive covenants in this agreement remain in effect to the extent they are otherwise enforceable.</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post-employment restraint analyzed under the same Tennessee reasonableness standard as the non-compete in this agreement, and to the extent it operates as a non-compete governed by the 2026 statute it is subject to the same compensation threshold and worker exclusions stated above (Tenn. Code Ann. §§ 50-1-210, 50-1-211).</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and Health Care Provider Covenants</w:t>
      </w:r>
    </w:p>
    <w:p>
      <w:pPr>
        <w:pStyle w:val="OABody"/>
        <w:spacing w:before="0" w:after="120" w:line="340" w:lineRule="auto"/>
        <w:ind w:left="720"/>
      </w:pPr>
      <w:r>
        <w:t xml:space="preserve">If Employee is a health-care provider licensed under chapters 3, 4, 5, 6, 8, 9, or 11 of Title 63 of the Tennessee Code, any covenant in this agreement restricting Employee's right to practice Employee's profession upon termination is intended to stay within the statutory safe harbor of Tenn. Code Ann. § 63-1-148(a): it must be set forth in a written document signed by Employee and Employer, run two years or less in duration, and stay within the greater of a ten-mile radius from Employee's primary practice site while employed or contracted or the county in which that primary practice site is located. A covenant tied to the purchase or sale of Employee's practice carries a rebuttable presumption that its agreed duration and area are reasonable (Tenn. Code Ann. § 63-1-148(b)). Meeting the safe harbor deems the covenant reasonable in time and area only; the protectable-interest requirement and the other common-law limits still apply. This safe harbor does not reach a physician who specializes in the practice of emergency medicine (Tenn. Code Ann. § 63-1-148(d)), and against such a physician any non-compete is void and unenforceable, as provided in the Compensation Threshold and Workers Exempt from the Non-Compete section above; the confidentiality and non-solicitation covenants in this agreement are not affected.</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from July 1, 2026, an employer may not require, request, or enforce a non-compete against a below-threshold employee (Tenn. Code Ann. § 50-1-211(a)), so any notice built on a non-compete should be conditioned on a covenant that actually survives the compensation threshold and the reasonableness analysis.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Tennessee has no statute or controlling appellate decision squarely endorsing tolling or extension of the restricted period during breach or litigation, and the 2026 statute measures its presumption window from the date the relationship terminates and is silent on pausing it (Tenn. Code Ann. § 50-1-210(b)(1)); any extension is itself a restraint that must remain reasonable, because a court may modify or refuse to enforce an unreasonable covenant (Vantage Technology, LLC v. Cross, 17 S.W.3d 637 (Tenn. Ct. App. 1999)). The parties therefore intend this extension to be defined and bounded, not open-ended or indefinite.</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Tennessee Uniform Trade Secrets Act, under which a court may award exemplary damages of up to twice any compensatory award for willful and malicious misappropriation of a trade secret (Tenn. Code Ann. § 47-25-1704(b)). Employer acknowledges the limit on this remedy in the covenant setting: a Tennessee court may refuse to enforce a covenant outright, even one backed by a legitimate protectable interest, where the hardship to Employee and the harm to the public interest outweigh Employer's interest (Columbus Medical Services, LLC v. Thomas, 308 S.W.3d 368 (Tenn. Ct. App. 2009)). If this agreement provides for attorney's fees, the parties intend any such provision to be mutual and prevailing-party based; absent such a provision, the American Rule applies and each party bears its own fees.</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or a court's decision to enforce a covenant only to a reasonable extent, does not affect the others.</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Tennessee follows a rule of reasonableness rather than the strict blue-pencil rule, so a court may modify an overbroad covenant so as to render it reasonable (Central Adjustment Bureau, Inc. v. Ingram, 678 S.W.2d 28 (Tenn. 1984); Vantage Technology, LLC v. Cross, 17 S.W.3d 637 (Tenn. Ct. App. 1999)), and for a covenant governed by the 2026 statute a court may modify a restrictive covenant to render it reasonable and enforceable (Tenn. Code Ann. § 50-1-210(d)); Employer therefore requests reformation if any restraint in this agreement is found to be overbroad. That power is discretionary and has a hard limit: a covenant shown by credible evidence to be deliberately unreasonable and oppressive is invalid rather than reformed (Central Adjustment Bureau), and a court may refuse enforcement entirely where the hardship to Employee and the harm to the public interest outweigh Employer's legitimate interest (Columbus Medical Services, LLC v. Thomas, 308 S.W.3d 368 (Tenn. Ct. App. 2009)). Accordingly, each restrictive covenant in this agreement is drawn as a reasonable, severable restraint sized to the Protected Interests from the start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 Per-covenant survival keeps each clock independently checkable, which matters in Tennessee because the non-compete answers to the § 50-1-211 threshold and the § 50-1-210 time presumptions after July 1, 2026 while the preserved confidentiality and non-solicitation covenants do not.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while an assignment alone moves the covenant, a renewal or amendment papered alongside a transaction on or after July 1, 2026 pulls the covenant into the 2026 statutory regime, including the compensation threshold and the time presumptions (2026 Tenn. Pub. Acts ch. 934, § 3).</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Disputes will be resolved in the courts of the Governing Law state, subject to non-waivable rights under applicable law. If the law of a state other than Tennessee is selected for an agreement with a Tennessee worker, the parties intend that selection to be executed in good faith and to rest on a genuine connection to the parties, because a Tennessee court honors a contractual intent to apply another jurisdiction's law only when certain requirements are met, beginning with good-faith execution (Vantage Technology, LLC v. Cross, 17 S.W.3d 637 (Tenn. Ct. App. 1999)); a clause deployed to escape Tennessee's protections, including the Tenn. Code Ann. § 50-1-211 seventy-thousand-dollar bar once effective, is vulnerable.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 The parties acknowledge that a renewal or amendment on or after July 1, 2026 brings this agreement within the 2026 statutory regime (2026 Tenn. Pub. Acts ch. 934, § 3).</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(Tennessee)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(Tennessee)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(Tennessee)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