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Oregon</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Employee provided services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3600" w:type="dxa"/>
            <w:tcMar>
              <w:top w:w="60" w:type="dxa"/>
              <w:left w:w="345" w:type="dxa"/>
              <w:bottom w:w="60" w:type="dxa"/>
              <w:right w:w="0" w:type="dxa"/>
            </w:tcMar>
          </w:tcPr>
          <w:p>
            <w:r>
              <w:rPr>
                <w:rFonts w:ascii="Arial" w:hAnsi="Arial" w:cs="Arial"/>
                <w:i/>
                <w:iCs/>
                <w:color w:val="494A4B"/>
                <w:sz w:val="21"/>
                <w:szCs w:val="21"/>
              </w:rPr>
              <w:t xml:space="preserve">Garden-Leave Payment Commitment</w:t>
            </w:r>
          </w:p>
        </w:tc>
        <w:tc>
          <w:tcPr>
            <w:tcW w:w="6480" w:type="dxa"/>
            <w:tcMar>
              <w:top w:w="60" w:type="dxa"/>
              <w:left w:w="0" w:type="dxa"/>
              <w:bottom w:w="60" w:type="dxa"/>
              <w:right w:w="0" w:type="dxa"/>
            </w:tcMar>
          </w:tcPr>
          <w:p>
            <w:r>
              <w:rPr>
                <w:rFonts w:ascii="Arial" w:hAnsi="Arial" w:cs="Arial"/>
                <w:i/>
                <w:iCs/>
                <w:color w:val="494A4B"/>
                <w:sz w:val="21"/>
                <w:szCs w:val="21"/>
              </w:rPr>
              <w:t xml:space="preserve">payment to Employee, for the time Employee is restricted from working, of the greater of (a) at least 50 percent of Employee's annual gross base salary and commissions at the time of termination or (b) 50 percent of the inflation-indexed threshold amount published by the Oregon Bureau of Labor and Industries for the calendar year preceding termination</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competitively sensitive confidential business or professional information that would not qualify as a trade secret, product development plans, product launch plans, marketing strategy, sales plans, customer lists, and pricing, but excluding information that becomes public through no fault of Employee.</w:t>
      </w:r>
    </w:p>
    <w:p>
      <w:pPr>
        <w:pStyle w:val="OABody"/>
        <w:numPr>
          <w:ilvl w:val="1"/>
          <w:numId w:val="1"/>
        </w:numPr>
        <w:spacing w:before="0" w:after="120" w:line="340" w:lineRule="auto"/>
      </w:pPr>
      <w:r>
        <w:rPr>
          <w:b/>
          <w:bCs/>
          <w:color w:val="117086"/>
        </w:rPr>
        <w:t xml:space="preserve">“Covered Customers”</w:t>
      </w:r>
      <w:r>
        <w:t xml:space="preserve"> means customers of Employer with whom Employee had an active or ongoing relationship — including material contact or responsibility — during the </w:t>
      </w:r>
      <w:r>
        <w:rPr>
          <w:b w:val="0"/>
          <w:bCs w:val="0"/>
        </w:rPr>
        <w:t xml:space="preserve">12 months</w:t>
      </w:r>
      <w:r>
        <w:t xml:space="preserve"> before termination of employment, and does not include former or merely incidental patrons.</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Employer's legitimate business interests recognized by ORS 653.295(2): Employee's access to trade secrets as defined in ORS 646.461, and Employee's access to competitively sensitive confidential business or professional information that otherwise would not qualify as a trade secret, including product development plans, product launch plans, marketing strategy, and sales plans.</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to directly or indirectly contact, approach, induce, encourage, or provide Confidential Information to any person or entity for the purpose of diverting business away from Employer, but does not include responding to general advertisements or unsolicited inquiries not initiated by Employee.</w:t>
      </w:r>
    </w:p>
    <w:p>
      <w:pPr>
        <w:pStyle w:val="OABody"/>
        <w:numPr>
          <w:ilvl w:val="1"/>
          <w:numId w:val="1"/>
        </w:numPr>
        <w:spacing w:before="0" w:after="120" w:line="340" w:lineRule="auto"/>
      </w:pPr>
      <w:r>
        <w:rPr>
          <w:b/>
          <w:bCs/>
          <w:color w:val="117086"/>
        </w:rPr>
        <w:t xml:space="preserve">“Trade Secrets”</w:t>
      </w:r>
      <w:r>
        <w:t xml:space="preserve"> has the meaning given in the Oregon Uniform Trade Secrets Act, ORS 646.461(4).</w:t>
      </w:r>
    </w:p>
    <w:p>
      <w:pPr>
        <w:pStyle w:val="OABody"/>
        <w:keepNext/>
        <w:numPr>
          <w:ilvl w:val="0"/>
          <w:numId w:val="1"/>
        </w:numPr>
        <w:spacing w:before="320" w:after="120" w:line="340" w:lineRule="auto"/>
        <w:jc w:val="left"/>
      </w:pPr>
      <w:r>
        <w:rPr>
          <w:b/>
          <w:bCs/>
        </w:rPr>
        <w:t xml:space="preserve">Recitals and Statutory Protectable Interest</w:t>
      </w:r>
    </w:p>
    <w:p>
      <w:pPr>
        <w:pStyle w:val="OABody"/>
        <w:spacing w:before="0" w:after="120" w:line="340" w:lineRule="auto"/>
        <w:ind w:left="720"/>
      </w:pPr>
      <w:r>
        <w:t xml:space="preserve">Employer and Employee acknowledge that each restrictive covenant in this agreement is ancillary to a valid employment relationship and is supported by, and no greater than required to protect, one or more of Employer's Protected Interests. If this agreement includes a covenant not to compete, Employer represents that it has a protectable interest within the meaning of ORS 653.295(2) because Employee has access to Employer's trade secrets, as defined in ORS 646.461, or to competitively sensitive confidential business or professional information that would not qualify as a trade secret, including product development plans, product launch plans, marketing strategy, or sales plans. Consistent with Nike, Inc. v. McCarthy, 379 F.3d 576 (9th Cir. 2004), the protectable-interest inquiry is concrete: it turns on the specific confidential and strategic information Employee can exploit at a competitor, not a generic competitive concern. Employer would not provide Employee with access to these Protected Interests absent the protections in this agreement, and each covenant is intended to impose no undue hardship on Employee and to cause no injury to the public.</w:t>
      </w:r>
    </w:p>
    <w:p>
      <w:pPr>
        <w:pStyle w:val="OABody"/>
        <w:keepNext/>
        <w:numPr>
          <w:ilvl w:val="0"/>
          <w:numId w:val="1"/>
        </w:numPr>
        <w:spacing w:before="320" w:after="120" w:line="340" w:lineRule="auto"/>
        <w:jc w:val="left"/>
      </w:pPr>
      <w:r>
        <w:rPr>
          <w:b/>
          <w:bCs/>
        </w:rPr>
        <w:t xml:space="preserve">Timing and Formation of the Non-Competition Covenant</w:t>
      </w:r>
    </w:p>
    <w:p>
      <w:pPr>
        <w:pStyle w:val="OABody"/>
        <w:spacing w:before="0" w:after="120" w:line="340" w:lineRule="auto"/>
        <w:ind w:left="720"/>
      </w:pPr>
      <w:r>
        <w:t xml:space="preserve">If this agreement includes a covenant not to compete, that covenant rests on one of the two formation gateways required by ORS 653.295(1)(a): either Employer informed Employee, in a written employment offer received by Employee at least two weeks before the first day of Employee's employment, that a noncompetition agreement is required as a condition of employment, or the covenant was entered into upon a subsequent bona fide advancement of Employee by Employer. Continued employment alone is not a qualifying trigger; consistent with Nike, Inc. v. McCarthy, 379 F.3d 576 (9th Cir. 2004), a covenant signed during employment is valid only when tied to a genuine advancement. Employer has advised Employee that Employee may consult with an attorney before entering into this agreement. Employee acknowledges that the restrictions in this agreement are reasonable and necessary to protect Employer's Protected Interests. This agreement is effective as of the Effective Date listed in Cover Terms.</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Employee's obligations regarding other Confidential Information continue for the period specified in Cover Terms. Nothing in this section, and nothing in this agreement, restricts the right of Employer to protect trade secrets or other proprietary information by injunction or any other lawful means under other applicable laws, including the Oregon Uniform Trade Secrets Act, ORS 646.461, as ORS 653.295(6) expressly preserves.</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the Oregon Bureau of Labor and Industries, or any other federal, state, or local agency; (b) making disclosures protected under whistleblower provisions of any law; (c) discussing wages, hours, or other terms and conditions of employment as protected by applicable law; (d) disclosing or discussing conduct that constitutes discrimination, harassment, or sexual assault, as protected by the Oregon Workplace Fairness Act, ORS 659A.370; (e) testifying truthfully in legal proceedings; or (f)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 Employer will coordinate this certification with its obligation under ORS 653.295(1)(d) to provide Employee a signed, written copy of the terms of any noncompetition covenant within 30 days after the date of termination.</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This restriction does not prohibit Employee from providing a professional reference upon request or from hiring a person who responds to a general advertisement not directed specifically at Employer's employees. Under ORS 653.295(5)(b), a covenant not to solicit employees of the employer is not subject to the noncompetition requirements of ORS 653.295(1) and (3); it is governed by common-law reasonableness.</w:t>
      </w:r>
    </w:p>
    <w:p>
      <w:pPr>
        <w:pStyle w:val="OABody"/>
        <w:keepNext/>
        <w:numPr>
          <w:ilvl w:val="0"/>
          <w:numId w:val="1"/>
        </w:numPr>
        <w:spacing w:before="320" w:after="120" w:line="340" w:lineRule="auto"/>
        <w:jc w:val="left"/>
      </w:pPr>
      <w:r>
        <w:rPr>
          <w:b/>
          <w:bCs/>
        </w:rPr>
        <w:t xml:space="preserve">Non-Solicitation of Customers, Vendors, Referral Sources, and Business Partners</w:t>
      </w:r>
    </w:p>
    <w:p>
      <w:pPr>
        <w:pStyle w:val="OABody"/>
        <w:spacing w:before="0" w:after="120" w:line="340" w:lineRule="auto"/>
        <w:ind w:left="720"/>
      </w:pPr>
      <w:r>
        <w:t xml:space="preserve">During the Restricted Period, Employee must not Solicit the business of any Covered Customer. Under ORS 653.295(5)(b), a covenant not to solicit or transact business with customers of the employer is not subject to the noncompetition requirements of ORS 653.295(1) and (3); it is governed by common-law reasonableness. Consistent with Oregon Psychiatric Partners, LLP v. Henry, 293 Or. App. 471, 429 P.3d 399 (2018), the Covered Customers class is limited to customers with an active or ongoing relationship with Employer and does not include former or merely incidental patrons.</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regardless of whether Employee or the Covered Customer first initiated contact. This restriction is broader than non-solicitation because it applies even if the Covered Customer approaches Employee. Under ORS 653.295(5)(b), a covenant not to transact business with customers of the employer is not subject to the noncompetition requirements of ORS 653.295(1) and (3), so long as it stays confined to Employer's customers with an active or ongoing relationship as construed in Oregon Psychiatric Partners, LLP v. Henry, 293 Or. App. 471, 429 P.3d 399 (2018).</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engage in, be employed by, consult for, or have an active ownership interest in any Competitive Business within the Restricted Territory. This covenant is a noncompetition agreement under ORS 653.295 and is void and unenforceable unless each statutory condition is met: Employee received the two-week written-offer notice or the covenant was entered into upon a bona fide advancement (ORS 653.295(1)(a)); Employee is an exempt salaried employee described in ORS 653.020(3) whose total annual gross salary and commissions, calculated on an annual basis at the time of termination, exceed the inflation-indexed threshold published by the Oregon Bureau of Labor and Industries (ORS 653.295(1)(b), (e)), or Employer commits to the garden-leave payment stated in Cover Terms and the garden-leave clause below (ORS 653.295(7)); Employer has a protectable interest under ORS 653.295(2); and Employer provides Employee a signed, written copy of the terms within 30 days after termination (ORS 653.295(1)(d)). The Restricted Period for this covenant does not exceed 12 months from the date of Employee's termination, and any portion of a term in excess of 12 months is void and unenforceable under ORS 653.295(3). Passive Public Holdings are permitted.</w:t>
      </w:r>
    </w:p>
    <w:p>
      <w:pPr>
        <w:pStyle w:val="OABody"/>
        <w:keepNext/>
        <w:numPr>
          <w:ilvl w:val="0"/>
          <w:numId w:val="1"/>
        </w:numPr>
        <w:spacing w:before="320" w:after="120" w:line="340" w:lineRule="auto"/>
        <w:jc w:val="left"/>
      </w:pPr>
      <w:r>
        <w:rPr>
          <w:b/>
          <w:bCs/>
        </w:rPr>
        <w:t xml:space="preserve">Garden-Leave Payment Commitment (Oregon)</w:t>
      </w:r>
    </w:p>
    <w:p>
      <w:pPr>
        <w:pStyle w:val="OABody"/>
        <w:spacing w:before="0" w:after="120" w:line="340" w:lineRule="auto"/>
        <w:ind w:left="720"/>
      </w:pPr>
      <w:r>
        <w:t xml:space="preserve">If Employee does not satisfy the exempt-status or salary-threshold conditions of ORS 653.295(1)(b) and (e), the non-compete in this agreement is enforceable, for the full term of the agreement and for up to 12 months, only if Employer agrees in writing to the garden-leave payment stated in Cover Terms. As required by ORS 653.295(7), that payment consists of </w:t>
      </w:r>
      <w:r>
        <w:rPr>
          <w:b w:val="0"/>
          <w:bCs w:val="0"/>
        </w:rPr>
        <w:t xml:space="preserve">payment to Employee, for the time Employee is restricted from working, of the greater of (a) at least 50 percent of Employee's annual gross base salary and commissions at the time of termination or (b) 50 percent of the inflation-indexed threshold amount published by the Oregon Bureau of Labor and Industries for the calendar year preceding termination</w:t>
      </w:r>
      <w:r>
        <w:t xml:space="preserve">. This garden-leave path overrides only ORS 653.295(1)(b) and (e); the two-week written-offer notice or bona fide advancement, the statutory protectable interest, the 12-month cap, and the delivery of a signed copy within 30 days after termination all continue to apply.</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Passive Public Holdings are permitted. Because this covenant restrains active roles at and material participation in a Competitive Business, it functions as a covenant not to compete and enjoys none of the ORS 653.295(5) carve-out that protects non-solicits; it therefore applies only on the same terms as the non-compete in this agreement, including the ORS 653.295(1) formation, exempt-status or garden-leave, and protectable-interest conditions and the 12-month cap of ORS 653.295(3).</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exercising rights protected by law, or disclosing or discussing conduct that constitutes discrimination, harassment, or sexual assault. Consistent with the Oregon Workplace Fairness Act, ORS 659A.370(1), no provision of this agreement has the purpose or effect of preventing Employee from disclosing or discussing such conduct.</w:t>
      </w:r>
    </w:p>
    <w:p>
      <w:pPr>
        <w:pStyle w:val="OABody"/>
        <w:keepNext/>
        <w:numPr>
          <w:ilvl w:val="0"/>
          <w:numId w:val="1"/>
        </w:numPr>
        <w:spacing w:before="320" w:after="120" w:line="340" w:lineRule="auto"/>
        <w:jc w:val="left"/>
      </w:pPr>
      <w:r>
        <w:rPr>
          <w:b/>
          <w:bCs/>
        </w:rPr>
        <w:t xml:space="preserve">Oregon Workplace Fairness Act</w:t>
      </w:r>
    </w:p>
    <w:p>
      <w:pPr>
        <w:pStyle w:val="OABody"/>
        <w:spacing w:before="0" w:after="120" w:line="340" w:lineRule="auto"/>
        <w:ind w:left="720"/>
      </w:pPr>
      <w:r>
        <w:t xml:space="preserve">Notwithstanding any other provision of this agreement, no nondisclosure provision, nondisparagement provision, or other provision of this agreement has the purpose or effect of preventing Employee — as a former, current, or prospective employee — from disclosing or discussing conduct that constitutes discrimination prohibited by ORS 659A.030 (including conduct that constitutes sexual assault) or by ORS 659A.082 or 659A.112, that occurred between employees, or between an employer and an employee, in the workplace or at a work-related event, or off the employment premises, as provided in ORS 659A.370(1). Confidentiality obligations under this agreement remain scoped to Employer's genuine trade-secret and proprietary-information interests, which Oregon law fully preserves.</w:t>
      </w:r>
    </w:p>
    <w:p>
      <w:pPr>
        <w:pStyle w:val="OABody"/>
        <w:keepNext/>
        <w:numPr>
          <w:ilvl w:val="0"/>
          <w:numId w:val="1"/>
        </w:numPr>
        <w:spacing w:before="320" w:after="120" w:line="340" w:lineRule="auto"/>
        <w:jc w:val="left"/>
      </w:pPr>
      <w:r>
        <w:rPr>
          <w:b/>
          <w:bCs/>
        </w:rPr>
        <w:t xml:space="preserve">Medical-Licensee Non-Competition Exclusion</w:t>
      </w:r>
    </w:p>
    <w:p>
      <w:pPr>
        <w:pStyle w:val="OABody"/>
        <w:spacing w:before="0" w:after="120" w:line="340" w:lineRule="auto"/>
        <w:ind w:left="720"/>
      </w:pPr>
      <w:r>
        <w:t xml:space="preserve">Notwithstanding any other provision of this agreement, if Employee is a medical licensee, no covenant in this agreement restricts Employee's practice of medicine or practice of nursing in favor of a person as defined in ORS 442.015, a management services organization, or a hospital as defined in ORS 442.015 or a hospital-affiliated clinic as defined in ORS 442.612; any such restriction is void and unenforceable under ORS 653.297(2)(a). This exclusion applies to agreements entered into before, on, or after the June 9, 2025 effective date of chapter 295, Oregon Laws 2025 (ORS 653.298). The narrow exceptions are preserved: a licensee who owns or controls an ownership or membership interest equivalent to 1.5 percent or more of the entity (enforceable to the extent ORS 653.295 provides), a covenant tied to a professional medical entity's documented recruitment investment subject to the statutory multi-year caps, and a licensee who does not engage directly in providing medical, health care, or clinical services (ORS 653.297(2)(b)).</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 prospective employer or business associate of Employee only if Employer has a reasonable belief that Employee may breach an enforceable restrictive covenant in this agreement. Because an Oregon non-compete that misses a statutory condition is void from the start under ORS 653.295, Employer conditions any such notice on a covenant that actually satisfies the statutory gates, and Employee consents to disclosure only on that basis.</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If Employee breaches any restrictive covenant that is not subject to the ORS 653.295(3) non-compete cap, the Restricted Period for that covenant is extended by one day for each day of the breach. The Restricted Period for the non-compete is not extended beyond 12 months from the date of Employee's termination; ORS 653.295(3) measures the 12-month maximum from termination and voids the excess, and no tolling or extension mechanism operates to push the effective restraint on competition past that ceiling. Oregon authority does not squarely resolve tolling of a non-compete, and this clause resolves the question conservatively within the statutory cap.</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Employer may seek injunctive or other equitable relief in addition to any other remedies available at law, and ORS 653.295(6) preserves Employer's right to protect trade secrets and proprietary information by injunction or any other lawful means regardless of the fate of any non-compete. If this agreement provides for attorney fees to enforce its provisions, that provision is mutual: under ORS 20.096(1), the party that prevails is entitled to reasonable attorney fees in addition to costs and disbursements, without regard to which party the contract specified. A one-way fee provision is therefore given reciprocal effect by operation of Oregon law.</w:t>
      </w:r>
    </w:p>
    <w:p>
      <w:pPr>
        <w:pStyle w:val="OABody"/>
        <w:keepNext/>
        <w:numPr>
          <w:ilvl w:val="0"/>
          <w:numId w:val="1"/>
        </w:numPr>
        <w:spacing w:before="320" w:after="120" w:line="340" w:lineRule="auto"/>
        <w:jc w:val="left"/>
      </w:pPr>
      <w:r>
        <w:rPr>
          <w:b/>
          <w:bCs/>
        </w:rPr>
        <w:t xml:space="preserve">Severability and No Reliance on Reformation</w:t>
      </w:r>
    </w:p>
    <w:p>
      <w:pPr>
        <w:pStyle w:val="OABody"/>
        <w:spacing w:before="0" w:after="120" w:line="340" w:lineRule="auto"/>
        <w:ind w:left="720"/>
      </w:pPr>
      <w:r>
        <w:t xml:space="preserve">If any provision of this agreement is found to be unenforceable, the remaining provisions remain in full force and effect, and each restrictive covenant is intended to be independently enforceable. The parties do not rely on any savings or reformation clause to cure a non-conforming non-compete. For agreements entered into on or after January 1, 2022, a covenant that misses a statutory requirement of ORS 653.295 is void rather than voidable — unenforceable from the start, with no act of Employee required — and the statute's only built-in repair is targeted: ORS 653.295(3) severs the portion of a term beyond 12 months and voids the excess, which is not a license for a court to rewrite an otherwise non-conforming covenant. The older regime under which a defective covenant was merely voidable and remained in effect until the employee acted (Bernard v. S.B., Inc., 270 Or. App. 710 (2015)) was superseded by the 2021 amendments. The non-compete in this agreement is accordingly drawn to the ORS 653.295 checklist at the outset rather than in reliance on judicial revision.</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except that the non-compete does not survive beyond 12 months from the date of termination and any excess is void under ORS 653.295(3). Obligations under the Confidential Information and Trade Secret Protection section survive indefinitely to the extent they relate to trade secrets.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A successor that enforces a covenant made in the context of the employment relationship inherits the original Employer's compliance record under ORS 653.295, including the notice, delivery, and salary conditions. This agreement is binding on and inures to the benefit of the parties and their respective heirs, successors, and permitted assigns.</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including ORS 653.295 and, where applicable, ORS 653.297 and 653.298. No choice-of-law provision may be applied to avoid the requirements of ORS 653.295 where Employee is a resident of Oregon rendering services primarily in Oregon: under ORS 15.320(3), notwithstanding any other provision of ORS 15.300 to 15.380 and subject to the limitations of ORS 15.305, the law of Oregon applies to a contract of employment for services to be rendered primarily in Oregon by a resident of Oregon. Disputes will be resolved in the courts of the Governing Law state, subject to non-waivable rights under applicable law.</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the parties acknowledge that an amendment introducing or broadening a non-compete is a new covenant that must independently satisfy the ORS 653.295(1)(a) formation gateway — a bona fide advancement, not continued employment alone.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(Oregon)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(Oregon)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(Oregon)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