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Ohio</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an Ohio covenant may protect under the Raimonde v. Van Vlerah reasonableness rule, namely Employer's Confidential Information, Employer's trade secrets as defined by the Ohio Uniform Trade Secrets Act (Ohio Rev. Code § 1333.61), and Employer's goodwill in its customer, vendor, referral-source, and business-partner relationships,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Ohio Uniform Trade Secrets Act, Ohio Rev. Code § 1333.61(D).</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Ohio has no general non-compete statute; enforceability is governed by the common-law reasonableness rule of Raimonde v. Van Vlerah, 42 Ohio St. 2d 21, 325 N.E.2d 544 (1975), under which a post-employment restraint is reasonable only if it is no greater than is required for the protection of the employer, does not impose undue hardship on the employee, and is not injurious to the public.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in exchange for Employee's assent to the covenants in this agreement, Employer continues an at-will employment relationship that it could otherwise legally have terminated without cause, which is itself sufficient consideration for the covenants under Lake Land Emp. Group of Akron, LLC v. Columber, 101 Ohio St. 3d 242, 2004-Ohio-786;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Raimonde reasonableness test on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Ohio law, including the Ohio Uniform Trade Secrets Act, Ohio Rev. Code §§ 1333.61–1333.69, which defines a trade secret by its independent economic value from not being generally known and by efforts that are reasonable under the circumstances to maintain its secrecy (Ohio Rev. Code § 1333.61(D)).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Ohio Rev. Code § 1333.61(D).</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is analyzed under the Raimonde reasonableness rule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Ohio courts analyze this customer non-solicitation covenant under the Raimonde reasonableness rule (Raimonde v. Van Vlerah, 42 Ohio St. 2d 21, 325 N.E.2d 544 (1975)); it reaches only Covered Customers with whom Employee had material contact and is no broader than necessary to protect Employer's goodwill in its customer relationships.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harder on the undue-hardship prong of the Raimonde reasonableness rule it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Consistent with the Raimonde v. Van Vlerah reasonableness rule, the parties intend this covenant to be no greater than is required for the protection of Employer, to impose no undue hardship on Employee, and to cause no injury to the public, with its time and territory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required.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Raimonde reasonableness rule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any covenant in this agreement restraining Employee from the practice of medicine is drafted against Ohio's heightened public-interest scrutiny for physician covenants and not as an ordinary commercial restraint. Ohio courts hold that a covenant restraining a physician-employee from competing with the employer is unreasonable where it imposes undue hardship on the physician and is injurious to the public because the physician's services are vital to the health, care, and treatment of the public and the demand for that medical expertise is critical to the community (MetroHealth Sys. v. Khandelwal, 2022-Ohio-77, 183 N.E.3d 590 (8th Dist.); Williams v. Hobbs, 9 Ohio App. 3d 331, 460 N.E.2d 287 (10th Dist. 1983)). Accordingly, any physician covenant in this agreement is intended to use a narrow radius and a short term, to preserve patient access and continuity of care, and to be enforced only to the extent it survives that heightened scrutiny under the Raimonde reasonableness rule. There is no enacted Ohio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the Raimonde reasonableness analysis may expose Employer to a claim, and that it should condition any such notice on a restraint it is prepared to defend on all three prongs.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Consistent with Ohio law, the parties further acknowledge that a covenant not to compete may not expire while the enforceability of the agreement is being litigated, so that the Restricted Period may be equitably extended until the litigation is resolved (Homan, Inc. v. A1 AG Servs., L.L.C., 175 Ohio App. 3d 51, 2008-Ohio-277 (3d Dist.)). Any such extension is itself a restraint that must remain reasonable and bounded under the Raimonde rule;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Ohio Uniform Trade Secrets Act, Ohio Rev. Code § 1333.62(A), under which actual or threatened misappropriation of a trade secret may be enjoined independent of any covenant. Employer acknowledges that overreach has a price: where a covenant fails and the agreement contains a prevailing-party fee provision, a court applying Ohio law has required the employer to pay the former employee's attorney's fees and litigation costs under the employer's own clause (Cintas Corp. v. Perry, 517 F.3d 459 (7th Cir. 2008)).</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Ohio courts are empowered to modify or amend an overbroad covenant and to enforce it to the extent necessary to protect the employer's legitimate interests, having abandoned strict blue-penciling in Raimonde v. Van Vlerah, 42 Ohio St. 2d 21, 325 N.E.2d 544 (1975); Employer therefore requests reformation if any restraint in this agreement is found to be overbroad. That power is discretionary rather than automatic: an Ohio court may decline to rewrite a covenant so overbroad that reforming it would require rebuilding the agreement (Kross Acquisition Co. v. Groundworks Ohio, LLC, 2024-Ohio-592, 236 N.E.3d 453 (1st Dist.)). Accordingly,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so that a buyer may enforce the covenants in transactions that are not statutory mergers; after a statutory merger, a surviving company may enforce these covenants as if it had stepped into Employer's shoes even without assignment language, provided the covenants are reasonable in its hands (Acordia of Ohio, L.L.C. v. Fishel, 133 Ohio St. 3d 356, 2012-Ohio-4648).</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Ohio law governs, the enforceability of each restrictive covenant is determined under the common-law reasonableness rule of Raimonde v. Van Vlerah and its progeny; there is no general Ohio non-compete statute and no statutory safe harbor, so each covenant is drafted to survive the holistic reasonableness analysis rather than to escape it.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(Ohio)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(Ohio)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(Ohio)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