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North Carolina</w:t>
            </w:r>
          </w:p>
        </w:tc>
      </w:tr>
      <w:tr>
        <w:tc>
          <w:tcPr>
            <w:tcW w:w="3600" w:type="dxa"/>
            <w:tcMar>
              <w:top w:w="60" w:type="dxa"/>
              <w:left w:w="0" w:type="dxa"/>
              <w:bottom w:w="60" w:type="dxa"/>
              <w:right w:w="0" w:type="dxa"/>
            </w:tcMar>
          </w:tcPr>
          <w:p>
            <w:r>
              <w:rPr>
                <w:rFonts w:ascii="Arial" w:hAnsi="Arial" w:cs="Arial"/>
                <w:b/>
                <w:bCs/>
                <w:color w:val="1D2021"/>
                <w:sz w:val="22"/>
                <w:szCs w:val="22"/>
              </w:rPr>
              <w:t xml:space="preserve">Mid-Employment Consideration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 and built customer relationships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 defined by reference to the duties the employee actually performed rather than every line of the employer's business.]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Passive Public Holdings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five percent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 defined by reference to the duties Employee actually performed for Employer rather than every line of Employer's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 Covered Customers does not include prospective clients Employer had not obtained.</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North Carolina covenant may protect, namely Employer's Confidential Information, Employer's trade secrets as defined by the North Carolina Trade Secrets Protection Act (N.C. Gen. Stat. § 66-152), and Employer's goodwill in its existing customer, vendor, referral-source, and business-partner relationships, but not Employer's interest in avoiding ordinary competition. A restraint can be reasonably necessary to protect these interests only where Employee, as a result of employment, acquired intimate knowledge of the nature and character of the business not otherwise generally available to the public.</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 and extended only as expressly provided in the Tolling and Extension During Breach section.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actively contact, approach, persuade, request, petition, induce, or encourage any person or entity for the purpose of diverting business away from Employer or of causing a Covered Employee to leave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North Carolina Trade Secrets Protection Act, N.C. Gen. Stat. § 66-152(3).</w:t>
      </w:r>
    </w:p>
    <w:p>
      <w:pPr>
        <w:pStyle w:val="OABody"/>
        <w:keepNext/>
        <w:numPr>
          <w:ilvl w:val="0"/>
          <w:numId w:val="1"/>
        </w:numPr>
        <w:spacing w:before="320" w:after="120" w:line="340" w:lineRule="auto"/>
        <w:jc w:val="left"/>
      </w:pPr>
      <w:r>
        <w:rPr>
          <w:b/>
          <w:bCs/>
        </w:rPr>
        <w:t xml:space="preserve">Recitals and Protected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reasonably necessary for that protection. North Carolina has no general non-compete statute; a non-compete is a partial restraint of trade against the backdrop of N.C. Gen. Stat. § 75-1's declaration that every contract in restraint of trade in the State is illegal, and it is enforceable only if it is (1) in writing, (2) made part of a contract of employment, (3) based on valuable consideration, (4) reasonable both as to time and territory, and (5) designed to protect a legitimate business interest and not against public policy (Whittaker Gen. Med. Corp. v. Daniel, 324 N.C. 523 (1989); Med. Staffing Network, Inc. v. Ridgway, 194 N.C. App. 649 (2009)). Because the covenant is read strictly against the drafter and a single defective element defeats enforcement with no judicial rewriting available to repair it, the parties intend each covenant to guard Employer's Confidential Information, trade secrets, and existing customer goodwill and not to eliminate ordinary competition, and acknowledge that a restraint is reasonably necessary only where Employee acquired intimate knowledge of the business not generally available to the public (United Labs., Inc. v. Kuykendall, 322 N.C. 643 (1988)).</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valuable consideration and identify what that consideration is. If this agreement is signed at the outset of employment, the offer and commencement of employment is itself valuable consideration for the covenants and no separate payment is required (QSP, Inc. v. Hair, 152 N.C. App. 174 (2002)). If Employee is an existing employee and signs after the employment relationship already exists, the parties agree that continued at-will employment is not sufficient consideration and that the covenants are instead supported by the new consideration stated in Cover Terms under Mid-Employment Consideration — such as a raise in pay, a new job assignment, or a stated payment — which the parties acknowledge actually moves (Whittaker Gen. Med. Corp. v. Daniel, 324 N.C. 523 (1989); Emp't Staffing Grp., Inc. v. Little, 243 N.C. App. 266 (2015)). The parties acknowledge that North Carolina courts do not weigh the adequacy of that new consideration and that a modest amount can suffice (Hejl v. Hood, Hargett &amp; Assocs., 196 N.C. App. 299 (2009)). Employee acknowledges having had the opportunity to consult with independent legal counsel before signing this agreement. Employee acknowledges that valuable consideration establishes only that the covenants are supported, not that they are reasonable — each covenant must independently satisfy the North Carolina reasonableness test on time, territory, and scope. This agreement is effective as of the Effective Date listed in Cover Terms.</w:t>
      </w:r>
    </w:p>
    <w:p>
      <w:pPr>
        <w:pStyle w:val="OABody"/>
        <w:keepNext/>
        <w:numPr>
          <w:ilvl w:val="0"/>
          <w:numId w:val="1"/>
        </w:numPr>
        <w:spacing w:before="320" w:after="120" w:line="340" w:lineRule="auto"/>
        <w:jc w:val="left"/>
      </w:pPr>
      <w:r>
        <w:rPr>
          <w:b/>
          <w:bCs/>
        </w:rPr>
        <w:t xml:space="preserve">Signed Writing Requirement</w:t>
      </w:r>
    </w:p>
    <w:p>
      <w:pPr>
        <w:pStyle w:val="OABody"/>
        <w:spacing w:before="0" w:after="120" w:line="340" w:lineRule="auto"/>
        <w:ind w:left="720"/>
      </w:pPr>
      <w:r>
        <w:t xml:space="preserve">Each restrictive covenant in this agreement limits Employee's right to do business and is therefore unenforceable unless it is in writing and duly signed by Employee, the party who agrees not to compete (N.C. Gen. Stat. § 75-4). The parties intend Employee's signature on the Signature Page to satisfy that statutory requirement for every restraint covenant in this agreement, and acknowledge that there is no oral, implied, or course-of-conduct substitute for it. Any amendment that changes the scope of a covenant must likewise be in a writing signed by Employee.</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North Carolina law, including the North Carolina Trade Secrets Protection Act, N.C. Gen. Stat. §§ 66-152 through 66-154, which defines a trade secret by its independent commercial value from not being generally known or readily ascertainable and by efforts that are reasonable under the circumstances to maintain its secrecy (N.C. Gen. Stat. § 66-152(3)). This confidentiality obligation is intended to operate alongside, and independent of, any restrictive covenant — the trade-secret remedy does not depend on a valid restraint and can survive a failed covenant —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as contemplated by N.C. Gen. Stat. § 66-152(3).</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or induce any Covered Employee to leave Employer. This restriction requires active persuasion; it does not prohibit Employee from providing a professional reference upon request, and it does not by its terms reach the hiring of a person who applies on their own initiative or in response to a general advertisement not directed specifically at Employer's employees (Inland Am. Winston Hotels, Inc. v. Crockett, 212 N.C. App. 349 (2011)). As the lightest restraint in this agreement, this covenant is analyzed under ordinary restraint-of-trade reasonableness and reaches only Covered Employees during the Restricted Period, no broader than necessary to protect Employer's workforce stability and goodwill.</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reaches only Covered Customers with whom Employee had material contact and does not reach prospective clients Employer never obtained, because preventing Employee from obtaining clients Employer itself had failed to obtain is an impermissible restraint (Hejl v. Hood, Hargett &amp; Assocs., 196 N.C. App. 299 (2009)). This covenant maps directly onto Employer's goodwill in its existing customer relationships and, together with the confidentiality and trade-secret protections in this agreement, is often a sturdier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with whom Employee had material contact, regardless of whether Employee or the Covered Customer first initiated contact. This restriction is broader than non-solicitation because it applies even if the Covered Customer approaches Employee. North Carolina upholds a partial restraint only where it is supported by valuable consideration, reasonably necessary to protect the covenantee, and not against public policy (United Labs., Inc. v. Kuykendall, 322 N.C. 643 (1988)), so this covenant is sized at least as tightly as the customer non-solicitation beside it and reaches only existing Covered Customers.</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and existing customer goodwill — and not to restrain ordinary competition. Consistent with North Carolina's five-element common-law test, the parties intend this covenant to be confined to the duties Employee actually performed and not to bar future work distinct from those duties (Med. Staffing Network, Inc. v. Ridgway, 194 N.C. App. 649 (2009)), and to claim no territory beyond what protects Employer's interest in maintaining its existing customers (Hartman v. W.H. Odell &amp; Assocs., 117 N.C. App. 307 (1994)). If Employer has identified specific competitors in Cover Terms under Specified Competitors, the parties intend this covenant to be understood and enforced as limited to those named competitors, because a restraint bound to named competitors is strong evidence that it is no broader than reasonably necessary. The parties acknowledge that a covenant too broad to be a reasonable protection of Employer's business will not be enforced and that a North Carolina court will not resize it.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partial restraint analyzed under North Carolina's reasonableness test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any covenant in this agreement restraining Employee from the practice of medicine is drafted against North Carolina's heightened public-health scrutiny for physician covenants and not as an ordinary commercial restraint. A North Carolina court will refuse enforcement where ordering the covenantor to honor the covenant would create a substantial question of potential harm to the public health, weighing the shortage of specialists in the field in the restricted area, the impact of establishing a monopoly in the area — including the impact on future fees and the availability of a doctor at all times for emergencies — and the public interest in having a choice in the selection of a physician (Aesthetic Facial &amp; Ocular Plastic Surgery Ctr., P.A. v. Zaldivar, 264 N.C. App. 260 (2019)). Accordingly, any physician covenant in this agreement is intended to use a narrow radius and a short term, to preserve patient access and continuity of care, and to be enforced only to the extent it survives that heightened public-policy scrutiny — which no recital drafts around. There is no enacted North Carolina statute banning health-care non-competes, and this agreement does not assume any pending legislation.</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built on a covenant that later fails the five-element enforceability test may expose Employer to a tortious-interference claim, and that it should condition any such notice on a restraint it is prepared to defend as reasonable.</w:t>
      </w:r>
    </w:p>
    <w:p>
      <w:pPr>
        <w:pStyle w:val="OABody"/>
        <w:keepNext/>
        <w:numPr>
          <w:ilvl w:val="0"/>
          <w:numId w:val="1"/>
        </w:numPr>
        <w:spacing w:before="320" w:after="120" w:line="340" w:lineRule="auto"/>
        <w:jc w:val="left"/>
      </w:pPr>
      <w:r>
        <w:rPr>
          <w:b/>
          <w:bCs/>
        </w:rPr>
        <w:t xml:space="preserve">Tolling and Extension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The parties include this express extension because no North Carolina appellate decision recognizes equitable tolling and a court cannot be assumed to lengthen the Restricted Period on its own; federal courts applying North Carolina law have enforced express extension-on-breach clauses of this kind, in one case extending expiration by the period of non-compliance (Philips Elecs. N. Am. Corp. v. Hope, 631 F. Supp. 2d 705 (M.D.N.C. 2009); Southtech Orthopedics, Inc. v. Dingus, 428 F. Supp. 2d 410 (E.D.N.C. 2006)). Any such extension is itself a restraint that must remain reasonable and bounded; the parties do not intend an open-ended or indefinite extension.</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North Carolina Trade Secrets Protection Act, N.C. Gen. Stat. § 66-154, under which actual or threatened misappropriation of a trade secret may be enjoined independent of any covenant. The parties acknowledge that reasonableness is a question of law on which the party seeking enforcement bears the burden of proving the covenant reasonable (Hartman v. W.H. Odell &amp; Assocs., 117 N.C. App. 307 (1994)), so this acknowledgement smooths the path to an injunction without substituting for that proof. The parties further acknowledge that this agreement does not rely on fee-shifting: North Carolina's reciprocal business-contract fee statute expressly excludes employment contracts from its definition of a covered business contract (N.C. Gen. Stat. § 6-21.6(1)), so a fee-shifting provision in this employment covenant generally will not support an award, and any attorney-fee recovery would run instead through the discretionary award available to a prevailing party on an unfair-or-deceptive-trade-practices claim on findings of willfulness or a frivolous and malicious action (N.C. Gen. Stat. § 75-16.1).</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North Carolina follows the strict blue-pencil doctrine: a court cannot rewrite a faulty covenant not to compete, but it may enforce divisible and reasonable portions of a covenant while striking the unenforceable portions, and the parties cannot contract to give a court a power it does not have (Beverage Sys. of the Carolinas, LLC v. Associated Beverage Repair, LLC, 368 N.C. 693 (2016)). Accordingly, this agreement does not rely on any reformation or savings clause to cure overbreadth, and none is intended to authorize judicial revision. Instead, each restrictive covenant is drafted as a distinctly severable, reasonable unit — with time, territory, and activity scope separately stated so that each is reasonable standing alone (tiered territories, stepped durations, and separately stated restraints where used) — so that if a court strikes a distinctly separable unreasonable term, the remaining divisible and reasonable portions stay in full force and effect. A court's refusal to enforce one covenant, or its decision to enforce only a distinctly separable reasonable portion, does not affect the others.</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as it may be extended under the Tolling and Extension During Breach section. Obligations under the Confidential Information and Trade Secret Protection section survive indefinitely to the extent they relate to trade secrets. All other provisions survive to the extent necessary to enforce rights that arose during employment. Stating survival per covenant keeps each clock independently checkable and supports the severance structure: the more clearly each covenant stands on its own, the more plausibly a court treats an overbroad one as distinctly separable from the rest.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a successor enforcing an assigned covenant inherits the same five-element analysis and the same strike-only severance the original Employer faced, so assignment moves the covenant without strengthening it.</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North Carolina law governs, the enforceability of each restrictive covenant is determined under the five-element common-law test of Whittaker Gen. Med. Corp. v. Daniel and its progeny; there is no general North Carolina non-compete statute and no statutory safe harbor, so each covenant is drafted to survive that reasonableness analysis rather than to escape it. For a covenant entered into in North Carolina, this agreement does not require the prosecution of any action or the arbitration of any dispute arising from the agreement to be instituted or heard in another state, because such a provision is against public policy, void, and unenforceable under N.C. Gen. Stat. § 22B-3; disputes arising from such a covenant will be resolved in the courts of North Carolina, subject to non-waivable rights under applicable law. The bar reaches forum-selection and arbitration-venue provisions but does not by itself void an out-of-state choice-of-law clause, so the governing-law selection and the forum selection are analyzed separately.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and any amendment changing the scope of a restrictive covenant must be signed by Employee as required by N.C. Gen. Stat. § 75-4.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(North Carolina)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(North Carolina)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(North Carolina)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