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 The execution date does statutory work in New Mexico: for psychologists, physician assistants, and pharmacists, the health-care practitioner article applies only to agreements, renewals, or extensions executed on or after the effective date of the 2023 act (NMSA 1978, § 24A-4-5(D)).]</w:t>
            </w:r>
          </w:p>
        </w:tc>
      </w:tr>
      <w:tr>
        <w:tc>
          <w:tcPr>
            <w:tcW w:w="3600" w:type="dxa"/>
            <w:tcMar>
              <w:top w:w="60" w:type="dxa"/>
              <w:left w:w="0" w:type="dxa"/>
              <w:bottom w:w="60" w:type="dxa"/>
              <w:right w:w="0" w:type="dxa"/>
            </w:tcMar>
          </w:tcPr>
          <w:p>
            <w:r>
              <w:rPr>
                <w:rFonts w:ascii="Arial" w:hAnsi="Arial" w:cs="Arial"/>
                <w:b/>
                <w:bCs/>
                <w:color w:val="1D2021"/>
                <w:sz w:val="22"/>
                <w:szCs w:val="22"/>
              </w:rPr>
              <w:t xml:space="preserve">Covenant Timing</w:t>
            </w:r>
          </w:p>
        </w:tc>
        <w:tc>
          <w:tcPr>
            <w:tcW w:w="6480" w:type="dxa"/>
            <w:tcMar>
              <w:top w:w="60" w:type="dxa"/>
              <w:left w:w="0" w:type="dxa"/>
              <w:bottom w:w="60" w:type="dxa"/>
              <w:right w:w="0" w:type="dxa"/>
            </w:tcMar>
          </w:tcPr>
          <w:p>
            <w:r>
              <w:rPr>
                <w:rFonts w:ascii="Arial" w:hAnsi="Arial" w:cs="Arial"/>
                <w:color w:val="1D2021"/>
                <w:sz w:val="22"/>
                <w:szCs w:val="22"/>
              </w:rPr>
              <w:t xml:space="preserve">at the outset of employment as a condition of the offer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Consideration</w:t>
            </w:r>
          </w:p>
        </w:tc>
        <w:tc>
          <w:tcPr>
            <w:tcW w:w="6480" w:type="dxa"/>
            <w:tcMar>
              <w:top w:w="60" w:type="dxa"/>
              <w:left w:w="0" w:type="dxa"/>
              <w:bottom w:w="60" w:type="dxa"/>
              <w:right w:w="0" w:type="dxa"/>
            </w:tcMar>
          </w:tcPr>
          <w:p>
            <w:r>
              <w:rPr>
                <w:rFonts w:ascii="Arial" w:hAnsi="Arial" w:cs="Arial"/>
                <w:color w:val="1D2021"/>
                <w:sz w:val="22"/>
                <w:szCs w:val="22"/>
              </w:rPr>
              <w:t xml:space="preserve">the offer of employment and Employee's access to Employer's Protected Interests</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New Mexico</w:t>
            </w:r>
          </w:p>
        </w:tc>
      </w:tr>
      <w:tr>
        <w:tc>
          <w:tcPr>
            <w:tcW w:w="3600" w:type="dxa"/>
            <w:tcMar>
              <w:top w:w="60" w:type="dxa"/>
              <w:left w:w="0" w:type="dxa"/>
              <w:bottom w:w="60" w:type="dxa"/>
              <w:right w:w="0" w:type="dxa"/>
            </w:tcMar>
          </w:tcPr>
          <w:p>
            <w:r>
              <w:rPr>
                <w:rFonts w:ascii="Arial" w:hAnsi="Arial" w:cs="Arial"/>
                <w:b/>
                <w:bCs/>
                <w:color w:val="1D2021"/>
                <w:sz w:val="22"/>
                <w:szCs w:val="22"/>
              </w:rPr>
              <w:t xml:space="preserve">Venue</w:t>
            </w:r>
          </w:p>
        </w:tc>
        <w:tc>
          <w:tcPr>
            <w:tcW w:w="6480" w:type="dxa"/>
            <w:tcMar>
              <w:top w:w="60" w:type="dxa"/>
              <w:left w:w="0" w:type="dxa"/>
              <w:bottom w:w="60" w:type="dxa"/>
              <w:right w:w="0" w:type="dxa"/>
            </w:tcMar>
          </w:tcPr>
          <w:p>
            <w:r>
              <w:rPr>
                <w:rFonts w:ascii="Arial" w:hAnsi="Arial" w:cs="Arial"/>
                <w:color w:val="1D2021"/>
                <w:sz w:val="22"/>
                <w:szCs w:val="22"/>
              </w:rPr>
              <w:t xml:space="preserve">the state and federal courts located in New Mexico</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Employee Period</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Customer Period</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actually worked or had material responsibility for Employer during employment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 information that arises from Employee's general skills, knowledge, training, or experience whether gained on the job or otherwise, information that is readily ascertainable to the public, and information Employee otherwise has a right to disclose as legally protected conduct.</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Employer's legitimate business interests capable of protection under New Mexico law — its Trade Secrets, its genuinely Confidential Information, and the goodwill in customer and referral relationships the worker actually held. General skills and knowledge do not rise to the level of trade secrets (Insure New Mexico, LLC v. McGonigle, 2000-NMCA-018, 995 P.2d 1053), and customer information that is not peculiar or special does not earn protection, so each restrictive covenant in this agreement is tied to a specific Protected Interest rather than to a naked restraint on Employee's ability to work.</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initiate contact with, approach, induce, or encourage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means information that qualifies as a trade secret under the New Mexico Uniform Trade Secrets Act, NMSA 1978, § 57-3A-2(D), and applicable federal law, meaning information that derives independent economic value, actual or potential, from not being generally known to and not being readily ascertainable by proper means by other persons who can obtain economic value from its disclosure or use, and that is the subject of efforts that are reasonable under the circumstances to maintain its secrecy (see also the federal Defend Trade Secrets Act, 18 U.S.C. § 1839(3)).</w:t>
      </w:r>
    </w:p>
    <w:p>
      <w:pPr>
        <w:pStyle w:val="OABody"/>
        <w:keepNext/>
        <w:numPr>
          <w:ilvl w:val="0"/>
          <w:numId w:val="1"/>
        </w:numPr>
        <w:spacing w:before="320" w:after="120" w:line="340" w:lineRule="auto"/>
        <w:jc w:val="left"/>
      </w:pPr>
      <w:r>
        <w:rPr>
          <w:b/>
          <w:bCs/>
        </w:rPr>
        <w:t xml:space="preserve">Recitals and Protectable Interest</w:t>
      </w:r>
    </w:p>
    <w:p>
      <w:pPr>
        <w:pStyle w:val="OABody"/>
        <w:spacing w:before="0" w:after="120" w:line="340" w:lineRule="auto"/>
        <w:ind w:left="720"/>
      </w:pPr>
      <w:r>
        <w:t xml:space="preserve">Employer and Employee acknowledge that each restrictive covenant in this agreement is ancillary to a valid employment relationship and exists to protect an identified Protected Interest, not to restrain Employee's general ability to work. Employee will receive access to Employer's Trade Secrets, Confidential Information, and customer and referral goodwill in the course of employment, and each non-compete and non-solicitation covenant in this agreement is drawn to be reasonable in time, geography, and scope on the facts of this relationship and tied to that Protected Interest, consistent with Lovelace Clinic v. Murphy, 76 N.M. 645, 417 P.2d 450 (1966), and Insure New Mexico, LLC v. McGonigle, 2000-NMCA-018, 995 P.2d 1053. The parties acknowledge that the public has an interest both in avoiding unreasonable restraints on competition and in enforcing freely made contracts, and that general skills and knowledge Employee brings to or develops during employment are not a Protected Interest.</w:t>
      </w:r>
    </w:p>
    <w:p>
      <w:pPr>
        <w:pStyle w:val="OABody"/>
        <w:keepNext/>
        <w:numPr>
          <w:ilvl w:val="0"/>
          <w:numId w:val="1"/>
        </w:numPr>
        <w:spacing w:before="320" w:after="120" w:line="340" w:lineRule="auto"/>
        <w:jc w:val="left"/>
      </w:pPr>
      <w:r>
        <w:rPr>
          <w:b/>
          <w:bCs/>
        </w:rPr>
        <w:t xml:space="preserve">Timing and Consideration</w:t>
      </w:r>
    </w:p>
    <w:p>
      <w:pPr>
        <w:pStyle w:val="OABody"/>
        <w:spacing w:before="0" w:after="120" w:line="340" w:lineRule="auto"/>
        <w:ind w:left="720"/>
      </w:pPr>
      <w:r>
        <w:t xml:space="preserve">This agreement is effective as of the Effective Date listed in Cover Terms and is entered into at the timing described in Cover Terms under Covenant Timing. The consideration for this agreement is described in Cover Terms under Consideration. Employer and Employee acknowledge that a bare promise of continued at-will employment is an illusory promise that cannot, standing alone, be consideration for a covenant Employee signs after employment has begun, and that an agreement unsupported by consideration is not formed (Piano v. Premier Distributing Co., 2005-NMCA-018, 107 P.3d 11). Accordingly, where Employee signs this agreement as a condition of the initial offer of employment, the offer of employment itself supplies consideration; where Employee signs after employment has begun, the consideration stated in Cover Terms is new, bargained-for consideration exchanged for the covenants and separate from any promise of continued at-will employment. Employee may consult an attorney before entering into this agreement.</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for the period specified in Cover Terms under Trade Secrets Duration, which is intended to last as long as the information remains a trade secret under NMSA 1978, § 57-3A-2(D). Employee's obligations regarding other Confidential Information continue for the period specified in Cover Terms under Other Confidential Information Duration. This section does not prohibit Employee from using or disclosing information that arises from Employee's general skills, knowledge, training, or experience, whether gained on the job or otherwise, information that is readily ascertainable to the public, or information that Employee otherwise has a right to disclose as legally protected conduct; New Mexico does not treat such general skills and knowledge as a protectable interest (Insure New Mexico, LLC v. McGonigle, 2000-NMCA-018, 995 P.2d 1053).</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(e) using or disclosing information that arises from Employee's general skills, knowledge, training, or experience, information readily ascertainable to the public, or information Employee otherwise has a right to disclose as legally protected conduct; or (f)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The parties acknowledge that this return-and-certification process is part of Employer's reasonable efforts to maintain the secrecy of its Trade Secrets, which the definition of a trade secret requires (NMSA 1978, § 57-3A-2(D)).</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is limited to initiating contact with or actively soliciting Covered Employees; it does not prohibit Employee from providing a professional reference upon request or from hiring a person who responds to a general advertisement not directed specifically at Employer's employees. If Employee is a covered health-care practitioner under NMSA 1978, § 24A-4-1(B), this covenant runs for one year or less after the last date of employment, which is the only period the health-care practitioner statute preserves for an employee non-solicitation provision (NMSA 1978, § 24A-4-3(C)); any longer stated duration is limited to one year for such a practitioner.</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This covenant is included solely for the protection of Employer's Protected Interests and is drawn no broader than reasonably necessary to protect those interests, bounded to customers Employee actually served during the covered look-back window rather than to Employer's entire book of business, because customer information that is not peculiar or special does not earn protection (Insure New Mexico, LLC v. McGonigle, 2000-NMCA-018, 995 P.2d 1053). If Employee is a covered health-care practitioner under NMSA 1978, § 24A-4-1(B), a non-solicitation provision with respect to patients runs for one year or less after the last date of employment (NMSA 1978, § 24A-4-3(C)); any longer stated duration is limited to one year for such a practitioner.</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which weighs more heavily on Employee's side of the reasonableness balance and against the public interest in unrestricted competition (Lovelace Clinic v. Murphy, 76 N.M. 645, 417 P.2d 450 (1966)). The parties include this covenant only where a genuine Protected Interest supports it, and it is drawn no broader than reasonably necessary to protect that interest. If Employee is a covered health-care practitioner under NMSA 1978, § 24A-4-1(B), any restriction on dealing with patients is limited to one year or less after the last date of employment, consistent with the preserved patient non-solicitation ceiling (NMSA 1978, § 24A-4-3(C)).</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A New Mexico non-compete is enforceable when a court deems it reasonable in time, geography, and scope and tied to a legitimate business interest (Lovelace Clinic v. Murphy, 76 N.M. 645, 417 P.2d 450 (1966); Insure New Mexico, LLC v. McGonigle, 2000-NMCA-018, 995 P.2d 1053), and reasonableness is decided on the facts of the particular case (Bowen v. Carlsbad Insurance &amp; Real Estate, Inc., 104 N.M. 514, 724 P.2d 223 (1986)). Accordingly, this covenant is included solely for the protection of Employer's Protected Interests, is drawn no broader than reasonably necessary to protect them, and its duration and Restricted Territory are matched to Employee's actual role and territory rather than to Employer's overall footprint. This covenant does not apply to, and is not enforceable against, a covered health-care practitioner to the extent it would restrict the practitioner's right to provide clinical health-care services in New Mexico, as provided in the Health-Care Practitioner Non-Compete Exclusion section.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 Because this covenant restrains active roles at and material participation in a Competitive Business, it functions as a covenant not to compete under New Mexico law; it is therefore included solely for the protection of Employer's Protected Interests, is drawn no broader than reasonably necessary to protect them, and is subject to the Health-Care Practitioner Non-Compete Exclusion section for a covered practitioner.</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discussing wages, hours, or working conditions as protected by law, or otherwise exercising rights protected by law.</w:t>
      </w:r>
    </w:p>
    <w:p>
      <w:pPr>
        <w:pStyle w:val="OABody"/>
        <w:keepNext/>
        <w:numPr>
          <w:ilvl w:val="0"/>
          <w:numId w:val="1"/>
        </w:numPr>
        <w:spacing w:before="320" w:after="120" w:line="340" w:lineRule="auto"/>
        <w:jc w:val="left"/>
      </w:pPr>
      <w:r>
        <w:rPr>
          <w:b/>
          <w:bCs/>
        </w:rPr>
        <w:t xml:space="preserve">Health-Care Practitioner Non-Compete Exclusion and Preserved Provisions</w:t>
      </w:r>
    </w:p>
    <w:p>
      <w:pPr>
        <w:pStyle w:val="OABody"/>
        <w:numPr>
          <w:ilvl w:val="1"/>
          <w:numId w:val="1"/>
        </w:numPr>
        <w:spacing w:before="0" w:after="120" w:line="340" w:lineRule="auto"/>
      </w:pPr>
      <w:r>
        <w:t xml:space="preserve">If Employee is a covered health-care practitioner — meaning a dentist, an osteopathic physician, a physician, a podiatrist, a certified registered nurse anesthetist, a certified nurse practitioner, a certified nurse-midwife, a psychologist, a physician assistant, or a pharmacist (NMSA 1978, § 24A-4-1(B)) — then, notwithstanding any other provision of this agreement, any non-compete provision that restricts Employee's right to provide clinical health-care services in New Mexico is unenforceable upon the termination of this agreement, of a renewal or extension of this agreement, or of Employee's employment with the party seeking to enforce it (NMSA 1978, § 24A-4-2(A)). For psychologists, physician assistants, and pharmacists, this exclusion applies to this agreement, and to any renewal or extension of it, executed on or after the effective date of the 2023 act that amended the article (NMSA 1978, § 24A-4-5(D)). This exclusion does not apply to an agreement between health-care practitioners who are shareholders, owners, partners, or directors of a health-care practice (NMSA 1978, § 24A-4-5(A)).</w:t>
      </w:r>
    </w:p>
    <w:p>
      <w:pPr>
        <w:pStyle w:val="OABody"/>
        <w:numPr>
          <w:ilvl w:val="1"/>
          <w:numId w:val="1"/>
        </w:numPr>
        <w:spacing w:before="0" w:after="120" w:line="340" w:lineRule="auto"/>
      </w:pPr>
      <w:r>
        <w:t xml:space="preserve">The following provisions of this agreement remain enforceable against a covered health-care practitioner to the extent they satisfy their own statutory limits (NMSA 1978, § 24A-4-3): a nondisclosure provision relating to Confidential Information and Trade Secrets; a non-solicitation provision with respect to patients and employees of the party seeking to enforce this agreement for a period of one year or less after the last date of employment; and, where Employee has worked for Employer for an initial period of less than three years, a provision requiring Employee to repay all or a portion of a loan, relocation expenses, a signing bonus or other remuneration to induce Employee to relocate or establish a health-care practice in a specified geographic area, or recruiting, education, and training expenses. Any liquidated-damages provision in this agreement is enforceable only in an amount that is reasonable at the time this agreement is executed and in light of the anticipated harm and the difficulty of proving the amount of loss (NMSA 1978, § 24A-4-4(A)); an unreasonably large amount operates as an unenforceable penalty and not as a substitute for a restraint the statute forecloses.</w:t>
      </w:r>
    </w:p>
    <w:p>
      <w:pPr>
        <w:pStyle w:val="OABody"/>
        <w:keepNext/>
        <w:numPr>
          <w:ilvl w:val="0"/>
          <w:numId w:val="1"/>
        </w:numPr>
        <w:spacing w:before="320" w:after="120" w:line="340" w:lineRule="auto"/>
        <w:jc w:val="left"/>
      </w:pPr>
      <w:r>
        <w:rPr>
          <w:b/>
          <w:bCs/>
        </w:rPr>
        <w:t xml:space="preserve">Sale-of-Business Covenants</w:t>
      </w:r>
    </w:p>
    <w:p>
      <w:pPr>
        <w:pStyle w:val="OABody"/>
        <w:spacing w:before="0" w:after="120" w:line="340" w:lineRule="auto"/>
        <w:ind w:left="720"/>
      </w:pPr>
      <w:r>
        <w:t xml:space="preserve">If any covenant in this agreement is ancillary to the purchase and sale of a business or its assets, it is drawn around the purchased goodwill — the purchase price, the payout structure, and the seller's role and prominence — rather than around the employment relationship. A restrictive covenant ancillary to a sale of a business is valid if it is within reasonable limits of time and space, and New Mexico courts are more reluctant to disturb restrictive covenants in buy-sell agreements than those in employment contracts (Bowen v. Carlsbad Insurance &amp; Real Estate, Inc., 104 N.M. 514, 724 P.2d 223 (1986)). Any such covenant is entered voluntarily and for consideration, and its time and territory are justified by what the buyer actually paid for.</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 The parties acknowledge that a covenant an incoming covered health-care practitioner signed with a prior employer may be unenforceable under NMSA 1978, § 24A-4-2, and this representation surfaces any such prior restraint for analysis before a dispute arises.</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 prospective employer or business associate of Employee only where a covenant in this agreement is enforceable against Employee and Employer has a reasonable belief that Employee may breach that covenant. Employer will not present or attempt to enforce against a third party a covenant that is unenforceable under New Mexico law, including a non-compete the health-care practitioner statute makes unenforceable, because doing so on the strength of an unenforceable covenant invites a tortious-interference claim. Employee consents to a disclosure permitted by this section.</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The parties acknowledge that New Mexico law does not clearly authorize extending a restrictive covenant beyond its stated term, and that the New Mexico cases enforce or reform fixed restricted periods without announcing a tolling rule (KidsKare, P.C. v. Mann, 2015-NMCA-064, 350 P.3d 1228). Accordingly, the Restricted Period for each covenant runs from the date Employee's employment ends. Any provision extending a Restricted Period during a period of proven breach is a separate restraint that is itself subject to the reasonableness standard and tied to Employer's Protected Interests, and the parties do not assume that a court will add time after the original period expires.</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and Employer may seek injunctive or other equitable relief in addition to any other remedies available at law. The parties acknowledge that, independent of the covenants in this agreement, actual or threatened misappropriation of Employer's Trade Secrets may be enjoined under the New Mexico Uniform Trade Secrets Act (NMSA 1978, § 57-3A-3(A)). Any fee-shifting between the parties is mutual and prevailing-party based; absent an enforceable fee-shifting provision, each party bears its own attorney fees and costs under the American Rule.</w:t>
      </w:r>
    </w:p>
    <w:p>
      <w:pPr>
        <w:pStyle w:val="OABody"/>
        <w:keepNext/>
        <w:numPr>
          <w:ilvl w:val="0"/>
          <w:numId w:val="1"/>
        </w:numPr>
        <w:spacing w:before="320" w:after="120" w:line="340" w:lineRule="auto"/>
        <w:jc w:val="left"/>
      </w:pPr>
      <w:r>
        <w:rPr>
          <w:b/>
          <w:bCs/>
        </w:rPr>
        <w:t xml:space="preserve">Severability and Reformation</w:t>
      </w:r>
    </w:p>
    <w:p>
      <w:pPr>
        <w:pStyle w:val="OABody"/>
        <w:spacing w:before="0" w:after="120" w:line="340" w:lineRule="auto"/>
        <w:ind w:left="720"/>
      </w:pPr>
      <w:r>
        <w:t xml:space="preserve">If any provision of this agreement is found to be unenforceable, the remaining provisions remain in full force and effect. The parties expressly agree that a court may amend or modify any restrictive covenant found to be unenforceable as written and enforce it to the full extent deemed reasonable and enforceable by the reviewing court, and the parties intend that reformation to be part of their bargain. This express reformation authority reflects that New Mexico's staged authority for narrowing an overbroad covenant is contract-based: a covenant was held amenable to modification precisely because the agreement explicitly provided for amendment of any unenforceable provision and enforcement to the full extent deemed reasonable, and the court did not decide whether a court may narrow an overbroad covenant absent such language (KidsKare, P.C. v. Mann, 2015-NMCA-064, 350 P.3d 1228). This clause is not a substitute for drafting each covenant reasonably at the outset, and the parties do not rely on any inherent judicial blue-pencil power to rescue a covenant drawn too broadly.</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Obligations under the Confidential Information and Trade Secret Protection section survive as long as the relevant information remains a trade secret. For a covered health-care practitioner, the surviving patient and employee non-solicitation obligations do not exceed one year after the last date of employment (NMSA 1978, § 24A-4-3(C)).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The parties acknowledge that an assignee's ability to enforce the restrictive covenants is re-measured against the assignee's actual market and Protected Interests under the New Mexico reasonableness standard, and that the health-care practitioner statute applies regardless of which entity seeks to enforce a covenant. This agreement is binding on and inures to the benefit of the parties and their respective heirs, successors, and permitted assigns.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under Governing Law, and disputes are resolved in the forum listed in Cover Terms under Venue, subject to non-waivable rights under applicable law. The parties acknowledge that, for an agreement for clinical health-care services to be rendered in New Mexico, a provision making the agreement subject to the laws of another state or requiring litigation arising out of the agreement to be conducted in another state is void, unenforceable, and against public policy (NMSA 1978, § 24A-4-2(B)); accordingly, for such an agreement, the Governing Law and Venue remain New Mexico. Outside the health-care statute, the parties do not assume that a clause selecting another state's law for a restraint operating in New Mexico controls without an ordinary conflicts-of-law and public-policy analysis.</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The parties acknowledge that the health-care practitioner statute reaches renewals and extensions, and that for psychologists, physician assistants, and pharmacists coverage attaches to agreements, renewals, or extensions executed on or after the effective date of the 2023 act (NMSA 1978, § 24A-4-5(D)), so a renewal or amendment can bring an existing covenant within the statute.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(New Mexico)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(New Mexico)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(New Mexico)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