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New Hampshire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had customer or patient contact for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Consideration for Restrictive Covenants</w:t>
            </w:r>
          </w:p>
        </w:tc>
        <w:tc>
          <w:tcPr>
            <w:tcW w:w="6480" w:type="dxa"/>
            <w:tcMar>
              <w:top w:w="60" w:type="dxa"/>
              <w:left w:w="0" w:type="dxa"/>
              <w:bottom w:w="60" w:type="dxa"/>
              <w:right w:w="0" w:type="dxa"/>
            </w:tcMar>
          </w:tcPr>
          <w:p>
            <w:r>
              <w:rPr>
                <w:rFonts w:ascii="Arial" w:hAnsi="Arial" w:cs="Arial"/>
                <w:color w:val="1D2021"/>
                <w:sz w:val="22"/>
                <w:szCs w:val="22"/>
              </w:rPr>
              <w:t xml:space="preserve">Employee's employment or continued employment with Employer, together with the compensation and access to Confidential Information that Employer provides under this agreement, which the parties agree are given in exchange for the restrictive covenants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and patient lists, pricing, business methods, technical data, and strategic plans, but excluding information that becomes public through no fault of Employee and excluding Employee's general skill, knowledge, and experience in the industry.</w:t>
      </w:r>
    </w:p>
    <w:p>
      <w:pPr>
        <w:pStyle w:val="OABody"/>
        <w:numPr>
          <w:ilvl w:val="1"/>
          <w:numId w:val="1"/>
        </w:numPr>
        <w:spacing w:before="0" w:after="120" w:line="340" w:lineRule="auto"/>
      </w:pPr>
      <w:r>
        <w:rPr>
          <w:b/>
          <w:bCs/>
          <w:color w:val="117086"/>
        </w:rPr>
        <w:t xml:space="preserve">“Covered Customers”</w:t>
      </w:r>
      <w:r>
        <w:t xml:space="preserve"> means customers, patients,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that New Hampshire recognizes as protectable by a restrictive covenant: Employer's trade secrets communicated to Employee during employment; confidential information other than trade secrets, such as a unique business method; Employee's special influence over Employer's customers obtained during employment; contacts developed during the employment; and Employer's goodwill and positive image. The mere cost of recruiting and hiring employees is not a Protected Interest.</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New Hampshire Uniform Trade Secrets Act, RSA 350-B:1, IV — information that derives independent economic value from not being generally known or readily ascertainable by proper means and that is the subject of efforts reasonable under the circumstances to maintain its secrecy.</w:t>
      </w:r>
    </w:p>
    <w:p>
      <w:pPr>
        <w:pStyle w:val="OABody"/>
        <w:keepNext/>
        <w:numPr>
          <w:ilvl w:val="0"/>
          <w:numId w:val="1"/>
        </w:numPr>
        <w:spacing w:before="320" w:after="120" w:line="340" w:lineRule="auto"/>
        <w:jc w:val="left"/>
      </w:pPr>
      <w:r>
        <w:rPr>
          <w:b/>
          <w:bCs/>
        </w:rPr>
        <w:t xml:space="preserve">Recitals and Legitimate Business Interests</w:t>
      </w:r>
    </w:p>
    <w:p>
      <w:pPr>
        <w:pStyle w:val="OABody"/>
        <w:spacing w:before="0" w:after="120" w:line="340" w:lineRule="auto"/>
        <w:ind w:left="720"/>
      </w:pPr>
      <w:r>
        <w:t xml:space="preserve">Employer and Employee acknowledge that each restrictive covenant in this agreement is supported by, and no greater than required to protect, one or more of Employer's Protected Interests. Consistent with the reasonableness test New Hampshire applies to a restraint on employment, each covenant is intended to be no greater than necessary for the protection of Employer's legitimate interest, to impose no undue hardship on Employee, and to cause no injury to the public interest (</w:t>
      </w:r>
      <w:r>
        <w:rPr>
          <w:i/>
          <w:iCs/>
        </w:rPr>
        <w:t xml:space="preserve">Smith, Batchelder &amp; Rugg v. Foster</w:t>
      </w:r>
      <w:r>
        <w:t xml:space="preserve">, 119 N.H. 679 (1979)). The interests this agreement protects are the ones New Hampshire recognizes — Employer's trade secrets, confidential information beyond trade secrets, Employee's special influence over Employer's customers, contacts developed during the employment, and Employer's goodwill (</w:t>
      </w:r>
      <w:r>
        <w:rPr>
          <w:i/>
          <w:iCs/>
        </w:rPr>
        <w:t xml:space="preserve">ACAS Acquisitions (Precitech) Inc. v. Hobert</w:t>
      </w:r>
      <w:r>
        <w:t xml:space="preserve">, 155 N.H. 381 (2007)) — and not the mere cost of recruiting and hiring employees, which New Hampshire does not treat as protectable (</w:t>
      </w:r>
      <w:r>
        <w:rPr>
          <w:i/>
          <w:iCs/>
        </w:rPr>
        <w:t xml:space="preserve">National Employment Service Corp. v. Olsten Staffing Service, Inc.</w:t>
      </w:r>
      <w:r>
        <w:t xml:space="preserve">, 145 N.H. 158 (2000)). Employer would not provide Employee with access to these Protected Interests absent the protections in this agreement.</w:t>
      </w:r>
    </w:p>
    <w:p>
      <w:pPr>
        <w:pStyle w:val="OABody"/>
        <w:keepNext/>
        <w:numPr>
          <w:ilvl w:val="0"/>
          <w:numId w:val="1"/>
        </w:numPr>
        <w:spacing w:before="320" w:after="120" w:line="340" w:lineRule="auto"/>
        <w:jc w:val="left"/>
      </w:pPr>
      <w:r>
        <w:rPr>
          <w:b/>
          <w:bCs/>
        </w:rPr>
        <w:t xml:space="preserve">Timing, Consideration, and Pre-Acceptance Delivery</w:t>
      </w:r>
    </w:p>
    <w:p>
      <w:pPr>
        <w:pStyle w:val="OABody"/>
        <w:spacing w:before="0" w:after="120" w:line="340" w:lineRule="auto"/>
        <w:ind w:left="720"/>
      </w:pPr>
      <w:r>
        <w:t xml:space="preserve">This agreement is effective as of the Effective Date listed in Cover Terms, and is supported by </w:t>
      </w:r>
      <w:r>
        <w:rPr>
          <w:b w:val="0"/>
          <w:bCs w:val="0"/>
        </w:rPr>
        <w:t xml:space="preserve">Employee's employment or continued employment with Employer, together with the compensation and access to Confidential Information that Employer provides under this agreement, which the parties agree are given in exchange for the restrictive covenants</w:t>
      </w:r>
      <w:r>
        <w:t xml:space="preserve">. Employee acknowledges that continued employment after signing an employment contract constitutes consideration for a covenant not to compete under New Hampshire law (</w:t>
      </w:r>
      <w:r>
        <w:rPr>
          <w:i/>
          <w:iCs/>
        </w:rPr>
        <w:t xml:space="preserve">Smith, Batchelder &amp; Rugg v. Foster</w:t>
      </w:r>
      <w:r>
        <w:t xml:space="preserve">, 119 N.H. 679 (1979)). If Employee had not previously been employed by Employer and is required to execute this agreement's noncompete as a condition of employment, Employer has provided Employee with a copy of this agreement before Employee accepted the offer of employment, as RSA 275:70 requires; the parties acknowledge that an undisclosed new-hire noncompete is unenforceable while all other provisions of the agreement remain in full force and effect, and that consideration does not cure a failure of that disclosure sequence. Employer has given Employee a reasonable opportunity to review this agreement and to consult an attorney before signing. Employee acknowledges that the restrictions in this agreement are reasonable and necessary to protect Employer's Protected Interests.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as long as the information remains a trade secret. Employee's obligations regarding other Confidential Information continue for the period specified in Cover Terms. Trade secrets are protected under New Hampshire law, including the New Hampshire Uniform Trade Secrets Act, RSA 350-B:1 et seq.; actual or threatened misappropriation may be enjoined under RSA 350-B:2, and the remedies in that chapter are in addition to the contractual remedies preserved by RSA 350-B:7. Where Employer's real concern is protecting this information rather than restricting where Employee may work, these confidentiality and trade-secret obligations carry that protection and are unaffected by the New Hampshire statutes that void geographic practice restrictions for covered clinicians.</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making disclosures required by law, court order, or a government investigation;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This covenant rests on Employer's Protected Interests in the departing team's customer relationships and confidential know-how, not on the mere cost of recruiting and hiring, which New Hampshire does not recognize as a protectable interest (</w:t>
      </w:r>
      <w:r>
        <w:rPr>
          <w:i/>
          <w:iCs/>
        </w:rPr>
        <w:t xml:space="preserve">National Employment Service Corp. v. Olsten Staffing Service, Inc.</w:t>
      </w:r>
      <w:r>
        <w:t xml:space="preserve">, 145 N.H. 158 (2000)).</w:t>
      </w:r>
    </w:p>
    <w:p>
      <w:pPr>
        <w:pStyle w:val="OABody"/>
        <w:keepNext/>
        <w:numPr>
          <w:ilvl w:val="0"/>
          <w:numId w:val="1"/>
        </w:numPr>
        <w:spacing w:before="320" w:after="120" w:line="340" w:lineRule="auto"/>
        <w:jc w:val="left"/>
      </w:pPr>
      <w:r>
        <w:rPr>
          <w:b/>
          <w:bCs/>
        </w:rPr>
        <w:t xml:space="preserve">Non-Solicitation of Customers, Patients,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is limited to the Covered Customers within Employee's own sphere of customer goodwill and does not reach Employer's full customer base, consistent with </w:t>
      </w:r>
      <w:r>
        <w:rPr>
          <w:i/>
          <w:iCs/>
        </w:rPr>
        <w:t xml:space="preserve">Merrimack Valley Wood Products, Inc. v. Near</w:t>
      </w:r>
      <w:r>
        <w:t xml:space="preserve">, 152 N.H. 192 (2005). It protects Employer's Protected Interest in Employee's special influence over Employer's customers, obtained during employment.</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Because it reaches further from Employee's own customer influence, it is drawn to the Covered Customers within Employee's sphere of customer goodwill and is no greater than necessary to protect Employer's Protected Interests (</w:t>
      </w:r>
      <w:r>
        <w:rPr>
          <w:i/>
          <w:iCs/>
        </w:rPr>
        <w:t xml:space="preserve">Smith, Batchelder &amp; Rugg v. Foster</w:t>
      </w:r>
      <w:r>
        <w:t xml:space="preserve">, 119 N.H. 679 (1979); </w:t>
      </w:r>
      <w:r>
        <w:rPr>
          <w:i/>
          <w:iCs/>
        </w:rPr>
        <w:t xml:space="preserve">Merrimack Valley Wood Products, Inc. v. Near</w:t>
      </w:r>
      <w:r>
        <w:t xml:space="preserve">, 152 N.H. 192 (2005)).</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no greater than necessary to protect Employer's Protected Interests, imposes no undue hardship on Employee, and is not injurious to the public interest (</w:t>
      </w:r>
      <w:r>
        <w:rPr>
          <w:i/>
          <w:iCs/>
        </w:rPr>
        <w:t xml:space="preserve">Smith, Batchelder &amp; Rugg v. Foster</w:t>
      </w:r>
      <w:r>
        <w:t xml:space="preserve">, 119 N.H. 679 (1979)); the Restricted Territory is limited to the area of Employee's actual customer or patient contact, and the duration is tailored to the interest protected (</w:t>
      </w:r>
      <w:r>
        <w:rPr>
          <w:i/>
          <w:iCs/>
        </w:rPr>
        <w:t xml:space="preserve">Concord Orthopaedics Professional Ass'n v. Forbes</w:t>
      </w:r>
      <w:r>
        <w:t xml:space="preserve">, 142 N.H. 440 (1997)). This covenant does not apply, and Employer will not require or enforce it, against Employee if Employee is a low-wage employee within the meaning of RSA 275:70-a — an employee earning an hourly rate less than or equal to 200 percent of the federal minimum wage — because such a noncompete is void and unenforceable; and, for a new hire required to sign as a condition of employment, this covenant is enforceable only if the RSA 275:70 pre-acceptance delivery in the Timing, Consideration, and Pre-Acceptance Delivery section was honored.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under New Hampshire law; it is therefore subject to the same three-part reasonableness test (</w:t>
      </w:r>
      <w:r>
        <w:rPr>
          <w:i/>
          <w:iCs/>
        </w:rPr>
        <w:t xml:space="preserve">Smith, Batchelder &amp; Rugg v. Foster</w:t>
      </w:r>
      <w:r>
        <w:t xml:space="preserve">, 119 N.H. 679 (1979)), the same RSA 275:70-a low-wage exclusion, and the same RSA 275:70 pre-acceptance delivery condition for a new hire as the non-compete in this agreement, and is drawn no broader than necessary to protect Employer's Protected Interests.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the right to discuss wages, hours, and other terms and conditions of employment under Section 7 of the National Labor Relations Act.</w:t>
      </w:r>
    </w:p>
    <w:p>
      <w:pPr>
        <w:pStyle w:val="OABody"/>
        <w:keepNext/>
        <w:numPr>
          <w:ilvl w:val="0"/>
          <w:numId w:val="1"/>
        </w:numPr>
        <w:spacing w:before="320" w:after="120" w:line="340" w:lineRule="auto"/>
        <w:jc w:val="left"/>
      </w:pPr>
      <w:r>
        <w:rPr>
          <w:b/>
          <w:bCs/>
        </w:rPr>
        <w:t xml:space="preserve">Clinician Geographic-Practice Carve-Out</w:t>
      </w:r>
    </w:p>
    <w:p>
      <w:pPr>
        <w:pStyle w:val="OABody"/>
        <w:spacing w:before="0" w:after="120" w:line="340" w:lineRule="auto"/>
        <w:ind w:left="720"/>
      </w:pPr>
      <w:r>
        <w:t xml:space="preserve">Notwithstanding any other provision of this agreement, this agreement does not restrict, and Employer will not require or enforce any restriction on, the right of a covered New Hampshire clinician to practice in any geographic area for any period of time after the partnership, employment, or professional relationship ends. Separate New Hampshire statutes void geographic post-termination practice restrictions for physicians (RSA 329:31-a), nurses (RSA 326-B:45-a), advanced practice registered nurses (RSA 326-B:45-b, effective August 23, 2025), and podiatrists (RSA 315:18), while expressly preserving the remaining provisions of the contract; licensure, not job title, is the test. Where Employer's concern is protecting Confidential Information or trade secrets rather than practice location, that concern is addressed by the Confidential Information and Trade Secret Protection section, which these statutes leave intact.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a covenant in this agreement that is enforceable under New Hampshire law. Employer will not assert against a third party a covenant that is unenforceable or void — including an undisclosed new-hire noncompete under RSA 275:70 or a low-wage-employee noncompete under RSA 275:70-a. Employee consents to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no New Hampshire appellate authority settles whether a restricted period is extended during a breach; New Hampshire has declined to extend a written covenant's duration absent ambiguity or evidence of an intent to extend it (</w:t>
      </w:r>
      <w:r>
        <w:rPr>
          <w:i/>
          <w:iCs/>
        </w:rPr>
        <w:t xml:space="preserve">Gosselin v. Archibald</w:t>
      </w:r>
      <w:r>
        <w:t xml:space="preserve">, 121 N.H. 1016 (1981)). This clause is therefore tied to the protected interest and the covenant's overall duration, and the parties do not assume a court will carry any period beyond the agreement's fair and natural meaning.</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that Employer may seek injunctive or other equitable relief in addition to any other remedies available at law. The parties acknowledge that this acknowledgement is a recital and not a substitute for proof: a court applying New Hampshire law may decline to enjoin a noncompete for want of irreparable injury or a favorable balance of the equities while still granting a narrower nondisclosure injunction (</w:t>
      </w:r>
      <w:r>
        <w:rPr>
          <w:i/>
          <w:iCs/>
        </w:rPr>
        <w:t xml:space="preserve">HCC Specialty Underwriters, Inc. v. Woodbury</w:t>
      </w:r>
      <w:r>
        <w:t xml:space="preserve">, 289 F. Supp. 3d 303 (D.N.H. 2018)), so the equities must be proved, not recited.</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Consistent with RSA 275:70, if the noncompete is unenforceable for failure of pre-acceptance disclosure, that result does not affect the other provisions of this agreement, which remain in full force and effect.</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The parties acknowledge that a New Hampshire court may reform an overly broad restrictive covenant only if the employer shows that it acted in good faith in the execution of the employment contract (</w:t>
      </w:r>
      <w:r>
        <w:rPr>
          <w:i/>
          <w:iCs/>
        </w:rPr>
        <w:t xml:space="preserve">Merrimack Valley Wood Products, Inc. v. Near</w:t>
      </w:r>
      <w:r>
        <w:t xml:space="preserve">, 152 N.H. 192 (2005)), and that bad-faith execution facts can foreclose reformation before enforceability is even reached (</w:t>
      </w:r>
      <w:r>
        <w:rPr>
          <w:i/>
          <w:iCs/>
        </w:rPr>
        <w:t xml:space="preserve">Syncom Industries, Inc. v. Wood</w:t>
      </w:r>
      <w:r>
        <w:t xml:space="preserve">, 155 N.H. 73 (2007)). This agreement does not rely on judicial reformation to cure overbreadth: each restrictive covenant is drawn no broader than necessary and is intended to be enforceable as written. A court is nonetheless requested to reform rather than void any restraint found to be overbroad, to the extent New Hampshire law permits and consistent with the good-faith execution the Timing, Consideration, and Pre-Acceptance Delivery section preserves.</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for as long as the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and this agreement's covenants are conveyed by that assignment under its plain terms (</w:t>
      </w:r>
      <w:r>
        <w:rPr>
          <w:i/>
          <w:iCs/>
        </w:rPr>
        <w:t xml:space="preserve">Atronix, Inc. v. Morris</w:t>
      </w:r>
      <w:r>
        <w:t xml:space="preserve">, 197 A.3d 79 (N.H. 2018)).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of the state listed in Cover Terms under Governing Law. Disputes will be resolved in the courts of the Governing Law state, subject to non-waivable rights under applicable law. This agreement assumes New Hampshire law governs; a mismatched or unstated choice of law reopens which state's restrictive-covenant rules apply.</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 The parties acknowledge that continued employment supports a covenant re-papered at a raise or promotion (</w:t>
      </w:r>
      <w:r>
        <w:rPr>
          <w:i/>
          <w:iCs/>
        </w:rPr>
        <w:t xml:space="preserve">Smith, Batchelder &amp; Rugg v. Foster</w:t>
      </w:r>
      <w:r>
        <w:t xml:space="preserve">, 119 N.H. 679 (1979)), but that a noncompete first required of a new hire during onboarding or amendment paperwork does not satisfy the RSA 275:70 pre-acceptance delivery rule.</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Hampshire)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Hampshire)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Hampshire)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