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Independent Consideration</w:t>
            </w:r>
          </w:p>
        </w:tc>
        <w:tc>
          <w:tcPr>
            <w:tcW w:w="6480" w:type="dxa"/>
            <w:tcMar>
              <w:top w:w="60" w:type="dxa"/>
              <w:left w:w="0" w:type="dxa"/>
              <w:bottom w:w="60" w:type="dxa"/>
              <w:right w:w="0" w:type="dxa"/>
            </w:tcMar>
          </w:tcPr>
          <w:p>
            <w:r>
              <w:rPr>
                <w:rFonts w:ascii="Arial" w:hAnsi="Arial" w:cs="Arial"/>
                <w:color w:val="1D2021"/>
                <w:sz w:val="22"/>
                <w:szCs w:val="22"/>
              </w:rPr>
              <w:t xml:space="preserve">a signing bonus, access to Employer's confidential information and customer relationships, and specialized training</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Missouri</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whom Employee actually serviced, solicited, or had substantial contact with, or for whom Employee had responsibility, during the </w:t>
      </w:r>
      <w:r>
        <w:rPr>
          <w:b w:val="0"/>
          <w:bCs w:val="0"/>
        </w:rPr>
        <w:t xml:space="preserve">12 months</w:t>
      </w:r>
      <w:r>
        <w:t xml:space="preserve"> before termination of employment. Covered Customers does not include a customer with whom Employee had no such relationship, and does not include a prospective customer Employee never serviced.</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two legitimate business interests a Missouri restrictive covenant may protect under Healthcare Servs. of the Ozarks, Inc. v. Copeland, 198 S.W.3d 604 (Mo. banc 2006), namely Employer's trade secrets as defined by the Missouri Uniform Trade Secrets Act (Mo. Rev. Stat. § 417.453(4)) and Employer's customer contacts — its goodwill in the customer relationships Employee had substantial contact with and an opportunity to influence — but not Employer's interest in avoiding ordinary competition by a former employee.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Missouri Uniform Trade Secrets Act, Mo. Rev. Stat. § 417.453(4).</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necessary to protect that interest. Missouri has no general non-compete statute; a covenant not to compete is a restraint on trade that is presumptively void and enforceable only to the extent it is demonstrably reasonable (Payroll Advance, Inc. v. Yates, 270 S.W.3d 428 (Mo. App. S.D. 2008)), and only to the extent it protects Employer's trade secrets or customer contacts — not against mere competition by a former employee (Healthcare Servs. of the Ozarks, Inc. v. Copeland, 198 S.W.3d 604 (Mo. banc 2006)). Employer bears the burden of proving both a protectable interest and the reasonableness of the covenant's time and geographic terms (Whelan Sec. Co. v. Kennebrew, 379 S.W.3d 835 (Mo. banc 2012)). The parties acknowledge that Employer's customer-contacts interest exists where Employee had substantial contact with customers and an opportunity to influence them, without any showing of actual solicitation, and that Employer would not provide Employee with access to its trade secrets and customer relationships absent the protections in this agreement. Each covenant is intended to be no more restrictive than is necessary to protect a Protected Interest, and recitals about goodwill, market position, or competitive advantage do not substitute for that tailoring.</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and independent consideration, namely </w:t>
      </w:r>
      <w:r>
        <w:rPr>
          <w:b w:val="0"/>
          <w:bCs w:val="0"/>
        </w:rPr>
        <w:t xml:space="preserve">a signing bonus, access to Employer's confidential information and customer relationships, and specialized training</w:t>
      </w:r>
      <w:r>
        <w:t xml:space="preserve">, actually conferred on Employee in exchange for Employee's assent to the covenants in this agreement. The parties do not rely on the mere offer or continuation of at-will employment as the sole consideration for these covenants: the Missouri Supreme Court has held that an offer of continued at-will employment is not valid consideration because the employer makes no legally enforceable promise beyond what it is already entitled to do (Baker v. Bristol Care, Inc., 450 S.W.3d 770 (Mo. banc 2014)), and a federal court applying Baker concluded that at-will employment is not a source of consideration under Missouri contract law (Durrell v. Tech Elecs., Inc., No. 4:16-cv-01367 (E.D. Mo. Nov. 15, 2016)), although the court of appeals has accepted continued at-will employment together with access to the employer's customers and assets (JumboSack Corp. v. Buyck, 407 S.W.3d 51 (Mo. App. E.D. 2013)). Employee acknowledges having had the opportunity to consult with independent legal counsel before signing this agreement. Employee acknowledges that adequate consideration establishes only that the covenants are supported, not that they are reasonable — each covenant must independently be no more restrictive than is necessary to protect a Protected Interest.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Missouri law, including the Missouri Uniform Trade Secrets Act, Mo. Rev. Stat. §§ 417.450–417.467, which defines a trade secret by information that derives independent economic value from not being generally known and that is the subject of efforts that are reasonable under the circumstances to maintain its secrecy (Mo. Rev. Stat. § 417.453(4)).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Mo. Rev. Stat. § 417.453(4), and that the written certification supply evidence for any application to enjoin actual or threatened misappropriation under Mo. Rev. Stat. § 417.455.1.</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or otherwise interfere with the employment of any Covered Employee. This restriction does not prohibit Employee from providing a professional reference upon request or from hiring a person who responds to a general advertisement not directed specifically at Employer's employees. This covenant protects Employer's workforce, not its customer relationships, and the parties intend it to fit within the safe harbor of Mo. Rev. Stat. § 431.202, which conclusively presumes an employee no-hire or anti-raiding covenant reasonable if its postemployment duration is no more than one year; the parties therefore intend the Restricted Period for this covenant to be no longer than one year. This covenant does not apply to any Covered Employee who provided only secretarial or clerical services, consistent with the exclusion in Mo. Rev. Stat. § 431.202.1(4).</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Missouri courts analyze this customer non-solicitation covenant under the common-law reasonableness standard, because the § 431.202 safe harbor does not reach customer restrictions; the covenant reaches only Covered Customers whom Employee actually serviced or had substantial contact with and is no broader than necessary to protect Employer's legitimate interest in customer contacts. The parties draft this covenant to that serviced-customer class deliberately, because the Missouri Supreme Court held a customer non-solicitation clause overbroad as written where it reached customers regardless of the employee's relationship with them, including prospective customers, beyond the employer's legitimate customer-contacts interest (Whelan Sec. Co. v. Kennebrew, 379 S.W.3d 835 (Mo. banc 2012)). This covenant maps directly onto Employer's customer-contacts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Missouri treats every contract in restraint of trade as unlawful by default (Mo. Rev. Stat. § 416.031(1)), and this covenant is enforceable only to the extent it is no more restrictive than is necessary to protect Employer's trade-secret or customer-contact interest; the parties therefore size it tightly to the customer contacts it protects and reach only Covered Customers whom Employee actually serviced or had substantial contact with.</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trade secrets and its customer contacts — and not to restrain ordinary competition, which Missouri does not permit a covenant to restrain (Healthcare Servs. of the Ozarks, Inc. v. Copeland, 198 S.W.3d 604 (Mo. banc 2006)). A Missouri non-compete begins as a presumptively void restraint, and Employer bears the burden of demonstrating a protectable interest and reasonableness as to time and geographic space (Whelan Sec. Co. v. Kennebrew, 379 S.W.3d 835 (Mo. banc 2012)); the parties therefore intend this covenant's time and territory to be sized to Employee's actual role and Employer's actual market and to be no more restrictive than is necessary.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more restrictive than necessary.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enforceable only to the extent it is no more restrictive than is necessary to protect Employer's trade secrets or customer contacts; the parties draw it no broader than that interest requires and acknowledge that a bare ban on investing that protects neither trade secrets nor customer contacts would restrain conduct no Missouri interest reaches.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or other health care practitioner, any covenant in this agreement restraining Employee from practice is drafted against Missouri's ordinary reasonableness standard, not against a physician-specific statute: Missouri has no statute imposing a duration or radius cap on physician non-competes, so a physician covenant is tested under the same standard as any other restrictive covenant — it must be no more restrictive than is necessary to protect Employer's trade secrets or customer contacts (here, patient and referral relationships) (Healthcare Servs. of the Ozarks, Inc. v. Copeland, 198 S.W.3d 604 (Mo. banc 2006)). Accordingly, any physician covenant in this agreement is intended to use a narrow radius and a short term, to preserve patient access and continuity of care, and to be enforced only to the extent it survives that reasonableness standard. This agreement does not assume any pending legislation, including a legislative proposal that would set a duration and radius framework for physician covenants with nonprofit employers that has been introduced but not enacted as of the drafting of this agreement.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cannot name its trade-secret or customer-contact interest may expose Employer to a tortious-interference claim rather than deter a hire, and that it should condition any such notice on a restraint it is prepared to defend as reasonable and tied to a Protected Interest.</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Missouri law does not clearly require a court to toll or extend a restricted period during breach or litigation, and that any extension is itself a restraint that must remain reasonable: an extension that pushes an employee non-solicitation covenant past the one-year duration of the § 431.202 safe harbor, or that stretches any covenant beyond the stated time terms Employer must defend as reasonable under Whelan Sec. Co. v. Kennebrew, 379 S.W.3d 835 (Mo. banc 2012), trades a known-good duration for an open reasonableness question. The parties therefore do not intend an open-ended or indefinite extension, and any extension must remain reasonable and bounded.</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Missouri Uniform Trade Secrets Act, Mo. Rev. Stat. § 417.455.1, under which actual or threatened misappropriation of a trade secret may be enjoined independent of any covenant. The parties acknowledge that a contractual attorney-fee award goes only to the prevailing party (Paradise v. Midwest Asphalt Coatings, Inc., 316 S.W.3d 327 (Mo. App. W.D. 2010)), so that an Employer that needs a court to narrow an overbroad covenant before enforcing it may fail to qualify as the prevailing party and lose the fee award even where the covenant is ultimately enforced as modified; the value of any fee provision therefore depends on the covenants having been sized reasonably from the outset.</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Missouri courts can give effect to the purpose of an overbroad covenant either by refusing to give effect to the unreasonable terms or by modifying the terms of the contract to be reasonable (Whelan Sec. Co. v. Kennebrew, 379 S.W.3d 835 (Mo. banc 2012)); Employer requests such modification if any restraint in this agreement is found to be overbroad. That power is discretionary rather than automatic: a Missouri court may, in its discretion, refuse both to enforce and to modify a covenant, as one court of appeals did with a covenant that lacked any geographic or other non-temporal limit (Sigma-Aldrich Corp. v. Vikin, 451 S.W.3d 767 (Mo. App. E.D. 2014)). Accordingly, each restrictive covenant in this agreement is drawn as a tiered, severable, reasonable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Because Missouri durations genuinely diverge by covenant type — perpetual for trade secrets, no more than one year for a safe-harbored employee non-solicitation covenant, and whatever the facts justify as reasonable for the rest — each covenant's survival period is checked independently against the interest it protects.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an assignee inherits Employer's burden of proving its own protectable interest, and that customer contacts built for one business do not automatically map onto a successor's different customer book; an assignment moves the covenant but does not enlarge or upgrade it.</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Missouri law governs, the enforceability of each restrictive covenant is determined under Missouri's common-law reasonableness standard against the statutory baseline that every contract in restraint of trade is unlawful (Mo. Rev. Stat. § 416.031(1)); there is no general Missouri non-compete statute, and the two statutory safe harbors (Mo. Rev. Stat. §§ 431.202, 431.204) are narrow and do not create a general regime, so each covenant is drafted to survive the trade-secrets-or-customer-contacts reasonableness analysis rather than to escape it.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(Missouri)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(Missouri)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(Missouri)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