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Mississippi</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the general knowledge, skill, and experience Employee acquired during employment.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Mississippi covenant may protect under the reasonableness balance the courts weigh, namely Employer's Confidential Information, Employer's trade secrets, Employer's goodwill in its customer, vendor, referral-source, and business-partner relationships, and Employer's investment in specialized training provided to Employee,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subject to any express extension under the Tolling During Breach section.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 Solicitation language reaches active diversion only; the separate No Business with Covered Customers covenant, when included, reaches a Covered Customer who initiates the contact.</w:t>
      </w:r>
    </w:p>
    <w:p>
      <w:pPr>
        <w:pStyle w:val="OABody"/>
        <w:numPr>
          <w:ilvl w:val="1"/>
          <w:numId w:val="1"/>
        </w:numPr>
        <w:spacing w:before="0" w:after="120" w:line="340" w:lineRule="auto"/>
      </w:pPr>
      <w:r>
        <w:rPr>
          <w:b/>
          <w:bCs/>
          <w:color w:val="117086"/>
        </w:rPr>
        <w:t xml:space="preserve">“Trade Secrets”</w:t>
      </w:r>
      <w:r>
        <w:t xml:space="preserve"> means information that derives independent economic value from not being generally known or readily ascertainable and that is the subject of efforts reasonable under the circumstances to maintain its secrecy, as protected under the Mississippi Uniform Trade Secrets Act and the federal Defend Trade Secrets Act.</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reasonable for that protection. Mississippi has no general non-compete statute; enforceability is governed by the common-law reasonableness balance the courts weigh in Texas Road Boring Co. of La.-Miss. v. Parker, 194 So. 2d 885 (Miss. 1967), under which a post-employment restraint is tested by looking to three interests — the rights of the employer, the rights of the employee, and the rights of the public — with the enforcing employer carrying the burden of proving the restraint reasonable. Because these covenants restrict trade and individual freedom, they are disfavored and construed strictly against the drafting Employer (Redd Pest Control Co. v. Foster, 761 So. 2d 967 (Miss. Ct. App. 2000)), and the law's function is to maintain a reasonable balance between Employer's protection and Employee's freedom to work (Donahoe v. Tatum, 242 Miss. 253, 134 So. 2d 442 (Miss. 1961)).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 Each covenant is intended to be reasonable in time, territory, and restrained activity, measured against Employee's real influence rather than Employer's whole footprint.</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at-will employee, the parties agree that, in exchange for Employee's assent to the covenants in this agreement, Employer continues an employment relationship it could otherwise legally have ended, which Mississippi recognizes as itself sufficient consideration for the covenants (Raines v. Bottrell Ins. Agency, Inc., 992 So. 2d 642 (Miss. Ct. App. 2008)); no separate payment, raise, or promotion is required. If this agreement is signed at the outset of employment, the offer and commencement of employment is the consideration. Employee represents that Employee is not a minor and has the legal capacity to enter this agreement.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Mississippi reasonableness balance on time, territory, and restrained activity.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independent of any covenant under the Mississippi Uniform Trade Secrets Act and the federal Defend Trade Secrets Act, which key trade-secret status to the information's independent economic value from not being generally known and to efforts reasonable under the circumstances to maintain its secrecy.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both as part of Employer's efforts reasonable under the circumstances to maintain the secrecy of its Trade Secrets and as the contemporaneous record Employer would present before asking a chancery court for an injunction over material that later surfaces at a competitor.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No staged Mississippi authority speaks specifically to employee no-poach covenants, so this restraint stands on the ordinary reasonableness balance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Mississippi analyzes this customer non-solicitation covenant under the reasonableness balance the courts weigh (Texas Road Boring Co. of La.-Miss. v. Parker, 194 So. 2d 885 (Miss. 1967)); it reaches only Covered Customers with whom Employee had material contact and is no broader than necessary to protect Employer's goodwill in its customer relationships. This covenant maps directly onto Employer's customer-goodwill interest and, together with the confidentiality and trade-secret protections in this agreement, is often a stronger and more readily enforceable protection than a broad non-compete. As drafted, this covenant restrains Employee's active solicitation only; to reach a Covered Customer who makes the first call, the parties must include the separate No Business with Covered Customers covenant, which states that prohibition expressly (Kennedy v. Metropolitan Life Ins. Co., 759 So. 2d 362 (Miss. 2000)).</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states expressly that accepting a Covered Customer's business is prohibited, because Mississippi will not infer that prohibition from solicitation language alone: a clause barring conduct that would tend to divert business was held ambiguous for failing to expressly prohibit accepting business from former customers who came over on their own initiative, and the ambiguity was construed against the employer, while the same court recognized that an express no-acceptance provision can, in appropriate cases, be reasonable and enforceable (Kennedy v. Metropolitan Life Ins. Co., 759 So. 2d 362 (Miss. 2000)). Because this covenant is a heavier restraint than a non-solicit, it is sized at least as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Consistent with the reasonableness balance the Mississippi courts weigh (Texas Road Boring Co. of La.-Miss. v. Parker, 194 So. 2d 885 (Miss. 1967)), the parties intend this covenant to be reasonable in duration, territory, and restrained activity as measured against Employee's real influence rather than Employer's whole footprint, mindful that a statewide restraint failed where the employee's protectable relationships were local (Redd Pest Control Co. v. Heatherly, 248 Miss. 34, 157 So. 2d 133 (Miss. 1963)) while a 250-mile radius held where the market would have justified even a nationwide limit (Timber Lake Foods, Inc. v. Estess, 72 So. 3d 521 (Miss. Ct. App. 2011)). If Employer has identified specific competitors in Cover Terms under Specified Competitors, the parties intend this covenant to be understood and, if necessary, enforced as limited to those named competitors, because a restraint bound to named competitors is strong evidence that the restrained activity is no broader than required. Passive Public Holdings are permitted. Where the covenant instead protects goodwill conveyed in the sale of a business or an ownership settlement, Mississippi affords it more favorable treatment than a pure employment restraint (Cooper v. Gidden, 515 So. 2d 900 (Miss. 1987)).</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same reasonableness balance as the rest of this agreement and is drawn no broader than necessary to protect Employer's Protected Interests, recognizing that an investment ban is the covenant hardest to tie to customer goodwill or confidential information.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or other health care practitioner, any covenant in this agreement restraining Employee from practicing is drafted to survive the ordinary Mississippi reasonableness balance, which weighs the rights of the public alongside those of Employer and Employee (Texas Road Boring Co. of La.-Miss. v. Parker, 194 So. 2d 885 (Miss. 1967)). Mississippi has no enacted statute banning physician or health care non-competes; bills to void them have been introduced and have failed, and this agreement does not assume any pending legislation. Accordingly, any health care covenant here is intended to use a narrow territory and a short term, to preserve patient access and continuity of care, and to be enforced only to the extent it is reasonable under that balance.</w:t>
      </w:r>
    </w:p>
    <w:p>
      <w:pPr>
        <w:pStyle w:val="OABody"/>
        <w:keepNext/>
        <w:numPr>
          <w:ilvl w:val="0"/>
          <w:numId w:val="1"/>
        </w:numPr>
        <w:spacing w:before="320" w:after="120" w:line="340" w:lineRule="auto"/>
        <w:jc w:val="left"/>
      </w:pPr>
      <w:r>
        <w:rPr>
          <w:b/>
          <w:bCs/>
        </w:rPr>
        <w:t xml:space="preserve">Practice Restrictions for Lawyers Excluded</w:t>
      </w:r>
    </w:p>
    <w:p>
      <w:pPr>
        <w:pStyle w:val="OABody"/>
        <w:spacing w:before="0" w:after="120" w:line="340" w:lineRule="auto"/>
        <w:ind w:left="720"/>
      </w:pPr>
      <w:r>
        <w:t xml:space="preserve">If Employee is a lawyer, nothing in this agreement restricts Employee's right to practice law after the termination of the relationship, except an agreement concerning benefits upon retirement. Under Miss. R. Prof'l Conduct 5.6(a), a partnership or employment agreement that restricts a lawyer's right to practice after termination of the relationship is prohibited. This exclusion keys on the profession, not on Employee's pay or seniority, and its only carve-out is for restrictions included in the terms of the sale of a law practice under Miss. R. Prof'l Conduct 1.17, which this employment agreement is not. To the extent any covenant in this agreement would otherwise restrain a lawyer's right to practice, that covenant does not apply to Employee.</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later fails the reasonableness balance — or that Employer forfeited through an arbitrary, capricious, or bad-faith discharge of Employee — may expose Employer to a claim, and that it should condition any such notice on a restraint it is prepared to defend.</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the time Employee is in breach, even if the Restricted Period would otherwise have expired according to the terms of this agreement, so that the full duration of the restriction is measured by the actual period of the breach. The parties adopt this express extension because Mississippi does not toll a restricted period on its own: having made a contract limiting the period to a term running from the date of termination, a court may not extend the time beyond that date absent an express extension clause (Frierson v. Sheppard Bldg. Supply Co., 247 Miss. 157, 154 So. 2d 151 (Miss. 1963)), while an express clause extending the period by the time the covenantor was in breach is given effect (Cascio v. Cascio Investments, LLC, 327 So. 3d 59 (Miss. 2021)). Any such extension is itself a restraint that must remain reasonable under the balance the courts weigh; the parties tie the extension to the actual breach period and do not intend an open-ended or automatic extension that would turn a fixed restraint into a perpetual one.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Employer acknowledges that an injunction is an equitable remedy: where a chancellor finds that Employer terminated Employee arbitrarily, capriciously, or in bad faith, the chancellor may refuse to lend the hand of equity and decline to enforce this agreement, and no recital in this agreement can clean Employer's hands (Empiregas, Inc. of Kosciusko v. Bain, 599 So. 2d 971 (Miss. 1992)). The practice note stages no Mississippi fee-shifting rule specific to restrictive covenants; absent an express fee provision, each party bears its own attorney's fees and costs under the default American Rule.</w:t>
      </w:r>
    </w:p>
    <w:p>
      <w:pPr>
        <w:pStyle w:val="OABody"/>
        <w:keepNext/>
        <w:numPr>
          <w:ilvl w:val="0"/>
          <w:numId w:val="1"/>
        </w:numPr>
        <w:spacing w:before="320" w:after="120" w:line="340" w:lineRule="auto"/>
        <w:jc w:val="left"/>
      </w:pPr>
      <w:r>
        <w:rPr>
          <w:b/>
          <w:bCs/>
        </w:rPr>
        <w:t xml:space="preserve">No Enforcement After a Bad-Faith Termination</w:t>
      </w:r>
    </w:p>
    <w:p>
      <w:pPr>
        <w:pStyle w:val="OABody"/>
        <w:spacing w:before="0" w:after="120" w:line="340" w:lineRule="auto"/>
        <w:ind w:left="720"/>
      </w:pPr>
      <w:r>
        <w:t xml:space="preserve">Employer acknowledges that it will not rely on any covenant in this agreement for enforcement after Employer has terminated Employee arbitrarily, capriciously, or in bad faith: under Empiregas, Inc. of Kosciusko v. Bain, 599 So. 2d 971 (Miss. 1992), when an employer terminates an employee in bad faith, the terms of a non-competition agreement will not be enforced. This forfeiture is an equitable limit that no clause drafts around; a covenant reasonable on its face still fails on these facts. The defense turns on how the employment ended: an Employee who voluntarily resigns generally cannot invoke it, and the covenant is then tested on ordinary reasonableness grounds.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Mississippi courts often narrow an overbroad covenant rather than void it, enforcing the agreement to the extent it is reasonable: the leading case cut a facially statewide restraint down to one town and a fifty-mile radius after framing the question as whether the reasonable part of a partly unreasonable covenant should be enforced (Redd Pest Control Co. v. Heatherly, 248 Miss. 34, 157 So. 2d 133 (Miss. 1963)); Employer therefore requests reformation if any restraint in this agreement is found to be overbroad. That power is the chancellor's discretionary equity, not an automatic entitlement: a grossly overbroad covenant invites a court to decline enforcement rather than rewrite it. Accordingly, each restrictive covenant in this agreement is drawn as a tiered, severable, genuinely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so that each clock is independently auditable — perpetual for Trade Secrets, finite everywhere else.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include this express assignment and successor language, and intend that any transfer of Employee's covenants in a business sale be made expressly and in the deal documents before Employee departs, because Mississippi will not supply a transfer the deal papers omit: a buyer could not enforce an employee's non-compete where the asset-purchase agreement's plain language did not transfer the employment contract and a later assignment came only after the employee had resigned (Herring Gas Co. v. Pine Belt Gas, Inc., 2 So. 3d 636 (Miss. 2009)). A covenant given by the seller of a business is treated differently — it travels with the goodwill conveyed and is given general application unless its own terms make it personal to the original obligee (Cooper v. Gidden, 515 So. 2d 900 (Miss. 1987)).</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Mississippi law governs, the enforceability of each restrictive covenant is determined under the common-law reasonableness balance the Mississippi courts weigh and its progeny; there is no general Mississippi non-compete statute and no statutory safe harbor, so each covenant is drafted to survive the holistic reasonableness analysis rather than to escape it. Disputes will be resolved in the courts of the Governing Law state, subject to non-waivable rights under applicable law. The practice note stages no Mississippi choice-of-law or forum-selection authority for these covenants, so the parties should name the selections clearly and treat any out-of-state selection in a Mississippi employment relationship as a matter for counsel review rather than assuming how a court would resolve it.</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(Mississippi)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(Mississippi)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(Mississippi)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