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Massachusetts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 Consideration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Garden Leave or Agreed Consideration</w:t>
            </w:r>
          </w:p>
        </w:tc>
        <w:tc>
          <w:tcPr>
            <w:tcW w:w="6480" w:type="dxa"/>
            <w:tcMar>
              <w:top w:w="60" w:type="dxa"/>
              <w:left w:w="0" w:type="dxa"/>
              <w:bottom w:w="60" w:type="dxa"/>
              <w:right w:w="0" w:type="dxa"/>
            </w:tcMar>
          </w:tcPr>
          <w:p>
            <w:r>
              <w:rPr>
                <w:rFonts w:ascii="Arial" w:hAnsi="Arial" w:cs="Arial"/>
                <w:i/>
                <w:iCs/>
                <w:color w:val="494A4B"/>
                <w:sz w:val="21"/>
                <w:szCs w:val="21"/>
              </w:rPr>
              <w:t xml:space="preserve">garden leave equal to at least 50% of Employee's highest annualized base salary paid within the two years before termination, paid pro rata across the Restricted Period</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keepNext/>
        <w:numPr>
          <w:ilvl w:val="0"/>
          <w:numId w:val="1"/>
        </w:numPr>
        <w:spacing w:before="320" w:after="120" w:line="340" w:lineRule="auto"/>
      </w:pPr>
      <w:r>
        <w:rPr>
          <w:b/>
          <w:bCs/>
        </w:rPr>
        <w:t xml:space="preserve">Defined Terms</w:t>
      </w:r>
    </w:p>
    <w:p>
      <w:pPr>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numPr>
          <w:ilvl w:val="1"/>
          <w:numId w:val="1"/>
        </w:numPr>
        <w:spacing w:before="0" w:after="120" w:line="340" w:lineRule="auto"/>
      </w:pPr>
      <w:r>
        <w:rPr>
          <w:b/>
          <w:bCs/>
          <w:color w:val="117086"/>
        </w:rPr>
        <w:t xml:space="preserve">“Protected Interests”</w:t>
      </w:r>
      <w:r>
        <w:t xml:space="preserve"> means the legitimate business interests that Mass. Gen. Laws ch. 149, § 24L(b)(iii) permits a noncompetition agreement to protect: Employer's trade secrets, Employer's Confidential Information that would not otherwise qualify as a trade secret, and Employer's goodwill. Protection from ordinary competition is not a Protected Interest.</w:t>
      </w:r>
    </w:p>
    <w:p>
      <w:pPr>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numPr>
          <w:ilvl w:val="1"/>
          <w:numId w:val="1"/>
        </w:numPr>
        <w:spacing w:before="0" w:after="120" w:line="340" w:lineRule="auto"/>
      </w:pPr>
      <w:r>
        <w:rPr>
          <w:b/>
          <w:bCs/>
          <w:color w:val="117086"/>
        </w:rPr>
        <w:t xml:space="preserve">“Trade Secrets”</w:t>
      </w:r>
      <w:r>
        <w:t xml:space="preserve"> has the meaning given in the Massachusetts Uniform Trade Secrets Act, Mass. Gen. Laws ch. 93, § 42.</w:t>
      </w:r>
    </w:p>
    <w:p>
      <w:pPr>
        <w:keepNext/>
        <w:numPr>
          <w:ilvl w:val="0"/>
          <w:numId w:val="1"/>
        </w:numPr>
        <w:spacing w:before="320" w:after="120" w:line="340" w:lineRule="auto"/>
      </w:pPr>
      <w:r>
        <w:rPr>
          <w:b/>
          <w:bCs/>
        </w:rPr>
        <w:t xml:space="preserve">Recitals and Legitimate Business Interests</w:t>
      </w:r>
    </w:p>
    <w:p>
      <w:pPr>
        <w:pStyle w:val="OABody"/>
        <w:spacing w:before="0" w:after="120" w:line="340" w:lineRule="auto"/>
        <w:ind w:left="720"/>
      </w:pPr>
      <w:r>
        <w:t xml:space="preserve">Employer and Employee acknowledge and agree that the restrictive covenants in this agreement are supported by, and no broader than necessary to protect, one or more of the legitimate business interests that Mass. Gen. Laws ch. 149, § 24L(b)(iii) permits a noncompetition agreement to protect: (A) Employer's trade secrets; (B) Employer's Confidential Information that would not otherwise qualify as a trade secret; or (C) Employer's goodwill. The parties acknowledge that, under Massachusetts law, protection from ordinary competition is not a legitimate business interest. Employer would not provide Employee with access to these Protected Interests absent the protections in this agreement.</w:t>
      </w:r>
    </w:p>
    <w:p>
      <w:pPr>
        <w:keepNext/>
        <w:numPr>
          <w:ilvl w:val="0"/>
          <w:numId w:val="1"/>
        </w:numPr>
        <w:spacing w:before="320" w:after="120" w:line="340" w:lineRule="auto"/>
      </w:pPr>
      <w:r>
        <w:rPr>
          <w:b/>
          <w:bCs/>
        </w:rPr>
        <w:t xml:space="preserve">Timing, Consideration, and Right to Consult Counsel</w:t>
      </w:r>
    </w:p>
    <w:p>
      <w:pPr>
        <w:pStyle w:val="OABody"/>
        <w:spacing w:before="0" w:after="120" w:line="340" w:lineRule="auto"/>
        <w:ind w:left="720"/>
      </w:pPr>
      <w:r>
        <w:t xml:space="preserve">Employee has the right to consult with counsel prior to signing this agreement. If this agreement is entered into in connection with the commencement of employment, it is provided to Employee by the earlier of a formal offer of employment or 10 business days before the commencement of employment, and is signed by both Employer and Employee (Mass. Gen. Laws ch. 149, § 24L(b)(i)). If this agreement is entered into after the commencement of employment but not in connection with separation, it is supported by fair and reasonable consideration independent from the continuation of employment, and notice of the agreement is provided to Employee at least 10 business days before it is to be effective (Mass. Gen. Laws ch. 149, § 24L(b)(ii)). Employee acknowledges that the restrictions in this agreement are reasonable and necessary to protect Employer's Protected Interests. If the employment relationship later changes materially, Employer may ask Employee to execute a new agreement that complies with the statute then in effect. This agreement is effective as of the Effective Date listed in Cover Terms.</w:t>
      </w:r>
    </w:p>
    <w:p>
      <w:pPr>
        <w:keepNext/>
        <w:numPr>
          <w:ilvl w:val="0"/>
          <w:numId w:val="1"/>
        </w:numPr>
        <w:spacing w:before="320" w:after="120" w:line="340" w:lineRule="auto"/>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Massachusetts law, including the Massachusetts Uniform Trade Secrets Act, Mass. Gen. Laws ch. 93, §§ 42–42G.</w:t>
      </w:r>
    </w:p>
    <w:p>
      <w:pPr>
        <w:keepNext/>
        <w:numPr>
          <w:ilvl w:val="0"/>
          <w:numId w:val="1"/>
        </w:numPr>
        <w:spacing w:before="320" w:after="120" w:line="340" w:lineRule="auto"/>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keepNext/>
        <w:numPr>
          <w:ilvl w:val="0"/>
          <w:numId w:val="1"/>
        </w:numPr>
        <w:spacing w:before="320" w:after="120" w:line="340" w:lineRule="auto"/>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keepNext/>
        <w:numPr>
          <w:ilvl w:val="0"/>
          <w:numId w:val="1"/>
        </w:numPr>
        <w:spacing w:before="320" w:after="120" w:line="340" w:lineRule="auto"/>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keepNext/>
        <w:numPr>
          <w:ilvl w:val="0"/>
          <w:numId w:val="1"/>
        </w:numPr>
        <w:spacing w:before="320" w:after="120" w:line="340" w:lineRule="auto"/>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is a covenant not to solicit Employer's customers, clients, or vendors and, under Mass. Gen. Laws ch. 149, § 24L(a), it is not a noncompetition agreement subject to that section's garden-leave, duration, and notice requirements; it is governed by common-law reasonableness and protects Employer's goodwill.</w:t>
      </w:r>
    </w:p>
    <w:p>
      <w:pPr>
        <w:keepNext/>
        <w:numPr>
          <w:ilvl w:val="0"/>
          <w:numId w:val="1"/>
        </w:numPr>
        <w:spacing w:before="320" w:after="120" w:line="340" w:lineRule="auto"/>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As a covenant not to transact business with Employer's customers, clients, or vendors, this restriction is excluded from the Massachusetts Noncompetition Agreement Act by Mass. Gen. Laws ch. 149, § 24L(a) and is governed by common-law reasonableness; it protects Employer's goodwill.</w:t>
      </w:r>
    </w:p>
    <w:p>
      <w:pPr>
        <w:keepNext/>
        <w:numPr>
          <w:ilvl w:val="0"/>
          <w:numId w:val="1"/>
        </w:numPr>
        <w:spacing w:before="320" w:after="120" w:line="340" w:lineRule="auto"/>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a noncompetition agreement under the Massachusetts Noncompetition Agreement Act, Mass. Gen. Laws ch. 149, § 24L. It is no broader than necessary to protect Employer's Protected Interests, and the Restricted Period for this covenant does not exceed 12 months from the cessation of employment, except that it may extend to no more than 2 years from cessation if Employee has breached a fiduciary duty to Employer or has unlawfully taken, physically or electronically, property belonging to Employer (Mass. Gen. Laws ch. 149, § 24L(b)(iv)). This covenant is supported by the garden leave clause or other mutually-agreed upon consideration stated in Cover Terms (Mass. Gen. Laws ch. 149, § 24L(b)(vii)), and is subject to the worker exemptions stated below. The Restricted Territory is intended to be reasonable in geographic reach, and the Competitive Business is intended to be reasonable in the scope of proscribed activities, each in relation to the Protected Interests (Mass. Gen. Laws ch. 149, § 24L(b)(v)–(vi)); this covenant is intended to be consonant with public policy (Mass. Gen. Laws ch. 149, § 24L(b)(viii)). Consistent with Massachusetts common law, a covenant not to compete is enforceable only if it is necessary to protect a legitimate business interest, reasonably limited in time and space, and consonant with the public interest. Passive Public Holdings are permitted.</w:t>
      </w:r>
    </w:p>
    <w:p>
      <w:pPr>
        <w:keepNext/>
        <w:numPr>
          <w:ilvl w:val="0"/>
          <w:numId w:val="1"/>
        </w:numPr>
        <w:spacing w:before="320" w:after="120" w:line="340" w:lineRule="auto"/>
      </w:pPr>
      <w:r>
        <w:rPr>
          <w:b/>
          <w:bCs/>
        </w:rPr>
        <w:t xml:space="preserve">Garden Leave or Other Agreed Consideration</w:t>
      </w:r>
    </w:p>
    <w:p>
      <w:pPr>
        <w:pStyle w:val="OABody"/>
        <w:spacing w:before="0" w:after="120" w:line="340" w:lineRule="auto"/>
        <w:ind w:left="720"/>
      </w:pPr>
      <w:r>
        <w:t xml:space="preserve">This noncompetition agreement is supported by the garden leave clause or other mutually-agreed upon consideration stated in Cover Terms, as required by Mass. Gen. Laws ch. 149, § 24L(b)(vii). A qualifying garden leave clause provides for the payment to Employee, on a pro-rata basis during the entirety of the Restricted Period for the non-compete and consistent with the wage-payment requirements of Mass. Gen. Laws ch. 149, § 148, of at least 50 percent of Employee's highest annualized base salary paid by Employer within the 2 years preceding the cessation of employment. Where the parties instead agree to other mutually-agreed upon consideration, that consideration is the amount stated in Cover Terms. Because the statute does not define consideration other than garden leave, the consideration is intended to be sized conservatively against the garden-leave benchmark.</w:t>
      </w:r>
    </w:p>
    <w:p>
      <w:pPr>
        <w:keepNext/>
        <w:numPr>
          <w:ilvl w:val="0"/>
          <w:numId w:val="1"/>
        </w:numPr>
        <w:spacing w:before="320" w:after="120" w:line="340" w:lineRule="auto"/>
      </w:pPr>
      <w:r>
        <w:rPr>
          <w:b/>
          <w:bCs/>
        </w:rPr>
        <w:t xml:space="preserve">Workers Exempt from the Non-Compete</w:t>
      </w:r>
    </w:p>
    <w:p>
      <w:pPr>
        <w:pStyle w:val="OABody"/>
        <w:spacing w:before="0" w:after="120" w:line="340" w:lineRule="auto"/>
        <w:ind w:left="720"/>
      </w:pPr>
      <w:r>
        <w:t xml:space="preserve">Notwithstanding any other provision of this agreement, the non-compete restriction is not enforceable against, and does not apply to, Employee if Employee falls within any category against which Mass. Gen. Laws ch. 149, § 24L(c) makes a noncompetition agreement unenforceable: (i) an employee classified as nonexempt under the Fair Labor Standards Act, 29 U.S.C. §§ 201–219; (ii) an undergraduate or graduate student engaged in an internship or other short-term employment relationship while enrolled in a full-time or part-time educational program; (iii) an employee who has been terminated without cause or laid off; or (iv) an employee age 18 or younger. For purposes of this section and Mass. Gen. Laws ch. 149, § 24L, the term employee includes an independent contractor under Mass. Gen. Laws ch. 149, § 148B. The other restrictive covenants in this agreement remain in effect to the extent they are otherwise enforceable.</w:t>
      </w:r>
    </w:p>
    <w:p>
      <w:pPr>
        <w:keepNext/>
        <w:numPr>
          <w:ilvl w:val="0"/>
          <w:numId w:val="1"/>
        </w:numPr>
        <w:spacing w:before="320" w:after="120" w:line="340" w:lineRule="auto"/>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To the extent this covenant restricts Employee from engaging in activities competitive with Employer after employment ends — for example, serving as a director, officer, manager, or advisor to a Competitive Business — it is a noncompetition agreement under Mass. Gen. Laws ch. 149, § 24L and applies only on the same terms as the non-compete in this agreement, including the garden leave or other agreed consideration, the 12-month duration cap, and the worker exemptions stated above; it does not restrict Passive Public Holdings.</w:t>
      </w:r>
    </w:p>
    <w:p>
      <w:pPr>
        <w:keepNext/>
        <w:numPr>
          <w:ilvl w:val="0"/>
          <w:numId w:val="1"/>
        </w:numPr>
        <w:spacing w:before="320" w:after="120" w:line="340" w:lineRule="auto"/>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keepNext/>
        <w:numPr>
          <w:ilvl w:val="0"/>
          <w:numId w:val="1"/>
        </w:numPr>
        <w:spacing w:before="320" w:after="120" w:line="340" w:lineRule="auto"/>
      </w:pPr>
      <w:r>
        <w:rPr>
          <w:b/>
          <w:bCs/>
        </w:rPr>
        <w:t xml:space="preserve">Profession-Specific Non-Compete Bans</w:t>
      </w:r>
    </w:p>
    <w:p>
      <w:pPr>
        <w:pStyle w:val="OABody"/>
        <w:spacing w:before="0" w:after="120" w:line="340" w:lineRule="auto"/>
        <w:ind w:left="720"/>
      </w:pPr>
      <w:r>
        <w:t xml:space="preserve">Notwithstanding any other provision of this agreement, any restriction on Employee's right to practice Employee's profession after the termination of employment is void and unenforceable, while the remaining provisions of this agreement continue in effect, if Employee is a physician registered to practice medicine (Mass. Gen. Laws ch. 112, § 12X), a registered or practical nurse (Mass. Gen. Laws ch. 112, § 74D), a licensed psychologist (Mass. Gen. Laws ch. 112, § 129B), or a licensed social worker (Mass. Gen. Laws ch. 112, § 135C). If Employee is employed or engaged in the broadcasting industry, any restriction on Employee's right to obtain subsequent employment is void and unenforceable where Employer terminated the employment, the parties ended the employment relationship by mutual agreement, or the contract expired, and a violation of that prohibition exposes Employer to the affected Employee's reasonable attorneys' fees and costs (Mass. Gen. Laws ch. 149, § 186).</w:t>
      </w:r>
    </w:p>
    <w:p>
      <w:pPr>
        <w:keepNext/>
        <w:numPr>
          <w:ilvl w:val="0"/>
          <w:numId w:val="1"/>
        </w:numPr>
        <w:spacing w:before="320" w:after="120" w:line="340" w:lineRule="auto"/>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keepNext/>
        <w:numPr>
          <w:ilvl w:val="0"/>
          <w:numId w:val="1"/>
        </w:numPr>
        <w:spacing w:before="320" w:after="120" w:line="340" w:lineRule="auto"/>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w:t>
      </w:r>
    </w:p>
    <w:p>
      <w:pPr>
        <w:keepNext/>
        <w:numPr>
          <w:ilvl w:val="0"/>
          <w:numId w:val="1"/>
        </w:numPr>
        <w:spacing w:before="320" w:after="120" w:line="340" w:lineRule="auto"/>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provided that, for the non-compete, no extension under this section may cause the Restricted Period to run beyond the latest point permitted by Mass. Gen. Laws ch. 149, § 24L(b)(iv) — that is, beyond 12 months from the cessation of employment, or beyond 2 years from the cessation of employment only where Employee has breached a fiduciary duty to Employer or has unlawfully taken, physically or electronically, property belonging to Employer. Because Massachusetts courts will not equitably extend a noncompetition restraint beyond its stated term (see EMC Corp. v. Arturi and Automile Holdings, LLC v. McGovern), this express provision is the parties' agreed mechanism for any extension during a breach, and it cannot lengthen the non-compete beyond that statutory ceiling.</w:t>
      </w:r>
    </w:p>
    <w:p>
      <w:pPr>
        <w:keepNext/>
        <w:numPr>
          <w:ilvl w:val="0"/>
          <w:numId w:val="1"/>
        </w:numPr>
        <w:spacing w:before="320" w:after="120" w:line="340" w:lineRule="auto"/>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If Employer prevails in any action to enforce this agreement, Employee must reimburse Employer's reasonable attorney's fees and costs.</w:t>
      </w:r>
    </w:p>
    <w:p>
      <w:pPr>
        <w:keepNext/>
        <w:numPr>
          <w:ilvl w:val="0"/>
          <w:numId w:val="1"/>
        </w:numPr>
        <w:spacing w:before="320" w:after="120" w:line="340" w:lineRule="auto"/>
      </w:pPr>
      <w:r>
        <w:rPr>
          <w:b/>
          <w:bCs/>
        </w:rPr>
        <w:t xml:space="preserve">Enforceability, Severability, and Reformation</w:t>
      </w:r>
    </w:p>
    <w:p>
      <w:pPr>
        <w:pStyle w:val="OABody"/>
        <w:spacing w:before="0" w:after="120" w:line="340" w:lineRule="auto"/>
        <w:ind w:left="720"/>
      </w:pPr>
      <w:r>
        <w:t xml:space="preserve">If any provision of this agreement is found to be unenforceable, the remaining provisions remain in full force and effect. The parties acknowledge that, under Mass. Gen. Laws ch. 149, § 24L(d), a court may, in its discretion, reform or otherwise revise a noncompetition agreement so as to render it valid and enforceable to the extent necessary to protect Employer's applicable legitimate business interests, and Employer requests such reformation if any restraint in this agreement is found to be overbroad. Because that reformation power is discretionary, the parties intend each restrictive covenant in this agreement to be drawn no broader than necessary and to be independently enforceable, rather than to rely on judicial revision.</w:t>
      </w:r>
    </w:p>
    <w:p>
      <w:pPr>
        <w:keepNext/>
        <w:numPr>
          <w:ilvl w:val="0"/>
          <w:numId w:val="1"/>
        </w:numPr>
        <w:spacing w:before="320" w:after="120" w:line="340" w:lineRule="auto"/>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keepNext/>
        <w:numPr>
          <w:ilvl w:val="0"/>
          <w:numId w:val="1"/>
        </w:numPr>
        <w:spacing w:before="320" w:after="120" w:line="340" w:lineRule="auto"/>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successor or acquirer of all or substantially all of Employer's business or assets. The Employer named in this agreement is the entity that actually employs Employee. Because Mass. Gen. Laws ch. 149, § 24L governs an agreement between an employer and an employee, the noncompetition obligations run to and are enforceable by that employing entity, and are not intended to be enforced by a parent, holding company, or affiliate that is not Employee's employer. This agreement is binding on and inures to the benefit of the parties and their respective heirs, successors, and permitted assigns.</w:t>
      </w:r>
    </w:p>
    <w:p>
      <w:pPr>
        <w:keepNext/>
        <w:numPr>
          <w:ilvl w:val="0"/>
          <w:numId w:val="1"/>
        </w:numPr>
        <w:spacing w:before="320" w:after="120" w:line="340" w:lineRule="auto"/>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the Massachusetts Noncompetition Agreement Act, Mass. Gen. Laws ch. 149, § 24L, for agreements entered into on or after October 1, 2018. No choice-of-law provision shall be applied to avoid the requirements of Mass. Gen. Laws ch. 149, § 24L if Employee is, and has been for at least 30 days immediately preceding the cessation of employment, a resident of or employed in Massachusetts. All civil actions relating to the noncompetition agreement in this agreement shall be brought in the county where Employee resides or, if Employer and Employee mutually agree, in Suffolk County, as required by Mass. Gen. Laws ch. 149, § 24L(f). Other disputes will be resolved in the courts of the Governing Law state, subject to non-waivable rights under applicable law.</w:t>
      </w:r>
    </w:p>
    <w:p>
      <w:pPr>
        <w:keepNext/>
        <w:numPr>
          <w:ilvl w:val="0"/>
          <w:numId w:val="1"/>
        </w:numPr>
        <w:spacing w:before="320" w:after="120" w:line="340" w:lineRule="auto"/>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(Massachusetts) (v1.0).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(Massachusetts) (v1.0).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(Massachusetts) (v1.0).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