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Maryland the execution date sorts the covenant into a regime: the § 3-716 health care void and the high-earner clinician cap reach only agreements executed on or after July 1, 2025 (2024 Md. Laws ch. 378, § 3), and the architect category reaches only agreements executed on or after October 1, 2026 (2026 Md. Laws ch. 301, § 2), while the veterinary ban reaches backward to existing agreements.]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Maryland</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actually built customer relationships or used protected information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Definitions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and patient lists, pricing, business processes, technical data, and strategic plans, but excluding information that becomes public through no fault of Employee, information that arises from Employee's general training, knowledge, skill, or experience whether gained on the job or otherwise, information that is readily ascertainable to the public,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patients,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that Maryland law recognizes as supporting a restrictive covenant — namely Employer's interest in protecting unique services, Trade Secrets, routes or client lists, and against the solicitation of customers (Becker v. Bailey, 268 Md. 93 (1973)). Each covenant in this agreement is drawn no broader or more restrictive than necessary to effectuate those interests (Fowler v. Printers II, Inc., 89 Md. App. 448 (1991)).</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Maryland Uniform Trade Secrets Act and applicable federal law, including information that derives independent economic value, actual or potential, from not being generally known to, and not being readily ascertainable by proper means by, other persons who can obtain economic value from its disclosure or use, and that is the subject of efforts that are reasonable under the circumstances to maintain its secrecy (Md. Code, Com. Law § 11-1201(e); see also the federal Defend Trade Secrets Act, 18 U.S.C. § 1839(3)).</w:t>
      </w:r>
    </w:p>
    <w:p>
      <w:pPr>
        <w:pStyle w:val="OABody"/>
        <w:keepNext/>
        <w:numPr>
          <w:ilvl w:val="0"/>
          <w:numId w:val="1"/>
        </w:numPr>
        <w:spacing w:before="320" w:after="120" w:line="340" w:lineRule="auto"/>
        <w:jc w:val="left"/>
      </w:pPr>
      <w:r>
        <w:rPr>
          <w:b/>
          <w:bCs/>
        </w:rPr>
        <w:t xml:space="preserve">Recitals and Protected Interest</w:t>
      </w:r>
    </w:p>
    <w:p>
      <w:pPr>
        <w:pStyle w:val="OABody"/>
        <w:spacing w:before="0" w:after="120" w:line="340" w:lineRule="auto"/>
        <w:ind w:left="720"/>
      </w:pPr>
      <w:r>
        <w:t xml:space="preserve">Employer and Employee acknowledge that each restrictive covenant in this agreement is ancillary to a valid employment relationship and is supported by adequate consideration, as Maryland law requires for enforcement (Becker v. Bailey, 268 Md. 93 (1973)). Employee will receive access to Employer's Confidential Information, Trade Secrets, and customer and patient relationships in the course of employment, and each covenant in this agreement is included to protect Employer's Protected Interests and is drawn no wider as to area and duration than reasonably necessary to protect those interests, without imposing undue hardship on Employee or disregarding the interests of the public. The parties intend each covenant to be enforceable as written and drawn within the scope Maryland law permits at the outset, rather than in reliance on any judicial narrowing.</w:t>
      </w:r>
    </w:p>
    <w:p>
      <w:pPr>
        <w:pStyle w:val="OABody"/>
        <w:keepNext/>
        <w:numPr>
          <w:ilvl w:val="0"/>
          <w:numId w:val="1"/>
        </w:numPr>
        <w:spacing w:before="320" w:after="120" w:line="340" w:lineRule="auto"/>
        <w:jc w:val="left"/>
      </w:pPr>
      <w:r>
        <w:rPr>
          <w:b/>
          <w:bCs/>
        </w:rPr>
        <w:t xml:space="preserve">Maryland Statutory Worker-Class Voids</w:t>
      </w:r>
    </w:p>
    <w:p>
      <w:pPr>
        <w:pStyle w:val="OABody"/>
        <w:numPr>
          <w:ilvl w:val="1"/>
          <w:numId w:val="1"/>
        </w:numPr>
        <w:spacing w:before="0" w:after="120" w:line="340" w:lineRule="auto"/>
      </w:pPr>
      <w:r>
        <w:t xml:space="preserve">Md. Code, Lab. &amp; Empl. § 3-716 makes a noncompete or conflict-of-interest provision that restricts Employee's ability to enter into employment with a new employer or to become self-employed in the same or similar business or trade null and void as being against the public policy of the State when Employee falls within a covered class. Notwithstanding any other provision of this agreement, no such provision applies to or is enforceable against Employee if:</w:t>
      </w:r>
    </w:p>
    <w:p>
      <w:pPr>
        <w:pStyle w:val="OABody"/>
        <w:numPr>
          <w:ilvl w:val="1"/>
          <w:numId w:val="1"/>
        </w:numPr>
        <w:spacing w:before="0" w:after="120" w:line="340" w:lineRule="auto"/>
      </w:pPr>
      <w:r>
        <w:t xml:space="preserve">(a) Employee earns equal to or less than 150% of the State minimum wage rate established under Md. Code, Lab. &amp; Empl. § 3-413 (§ 3-716(a)(1)(i)1) — the State minimum wage has been $15.00 per hour since January 1, 2024, placing the covered ceiling at $22.50 per hour;</w:t>
      </w:r>
    </w:p>
    <w:p>
      <w:pPr>
        <w:pStyle w:val="OABody"/>
        <w:numPr>
          <w:ilvl w:val="1"/>
          <w:numId w:val="1"/>
        </w:numPr>
        <w:spacing w:before="0" w:after="120" w:line="340" w:lineRule="auto"/>
      </w:pPr>
      <w:r>
        <w:t xml:space="preserve">(b) Employee is licensed as a veterinary practitioner or veterinary technician under Title 2, Subtitle 3 of the Agriculture Article, at any compensation level, which bar applies retroactively to agreements entered into on or before its effective date (§ 3-716(a)(1)(i); 2024 Md. Laws ch. 378, § 2); or</w:t>
      </w:r>
    </w:p>
    <w:p>
      <w:pPr>
        <w:pStyle w:val="OABody"/>
        <w:numPr>
          <w:ilvl w:val="1"/>
          <w:numId w:val="1"/>
        </w:numPr>
        <w:spacing w:before="0" w:after="120" w:line="340" w:lineRule="auto"/>
      </w:pPr>
      <w:r>
        <w:t xml:space="preserve">(c) for an agreement executed on or after July 1, 2025, Employee is in a position that requires licensure under the Health Occupations Article, provides direct patient care, and earns equal to or less than $350,000 in total annual compensation (§ 3-716(a)(1)(i)2; 2024 Md. Laws ch. 378, § 3).</w:t>
      </w:r>
    </w:p>
    <w:p>
      <w:pPr>
        <w:pStyle w:val="OABody"/>
        <w:numPr>
          <w:ilvl w:val="1"/>
          <w:numId w:val="1"/>
        </w:numPr>
        <w:spacing w:before="0" w:after="120" w:line="340" w:lineRule="auto"/>
      </w:pPr>
      <w:r>
        <w:t xml:space="preserve">For an agreement executed on or after October 1, 2026, the same bar extends to an employee of a licensed architect whose employer, after employing more than 30 workers based primarily in Maryland, relocates the majority of that workforce out of state or no longer maintains its principal place of business in Maryland (2026 Md. Laws ch. 301, §§ 1–2). Where any such class applies, the parties do not present or enforce the voided provision, and Employer's protection runs instead through the confidentiality, client-list, and Trade-Secret terms of this agreement, which § 3-716(a)(2) leaves intact.</w:t>
      </w:r>
    </w:p>
    <w:p>
      <w:pPr>
        <w:pStyle w:val="OABody"/>
        <w:keepNext/>
        <w:numPr>
          <w:ilvl w:val="0"/>
          <w:numId w:val="1"/>
        </w:numPr>
        <w:spacing w:before="320" w:after="120" w:line="340" w:lineRule="auto"/>
        <w:jc w:val="left"/>
      </w:pPr>
      <w:r>
        <w:rPr>
          <w:b/>
          <w:bCs/>
        </w:rPr>
        <w:t xml:space="preserve">Timing and Consideration</w:t>
      </w:r>
    </w:p>
    <w:p>
      <w:pPr>
        <w:pStyle w:val="OABody"/>
        <w:spacing w:before="0" w:after="120" w:line="340" w:lineRule="auto"/>
        <w:ind w:left="720"/>
      </w:pPr>
      <w:r>
        <w:t xml:space="preserve">This agreement is effective as of the Effective Date listed in Cover Terms. Employer and Employee acknowledge that continued at-will employment is adequate consideration for the restrictive covenants in this agreement. For a covenant Employee signs after employment begins, the parties acknowledge that Employee's continued at-will employment supplies that consideration, consistent with Simko, Inc. v. Graymar Co., 55 Md. App. 561 (1983), which reasons from the mutuality of the at-will relationship that the employer's consent not to terminate is as good as the employee's consent to continue. Employee's execution of this agreement is connected to, and given in exchange for, Employee's continued employment with Employer. Employee has had the opportunity to consult an attorney before entering into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under Md. Code, Com. Law § 11-1201(e). Employee's obligations regarding other Confidential Information continue for the period specified in Cover Terms under Other Confidential Information Duration. This section does not prohibit Employee from disclosing information that arises from Employee's general training, knowledge, skill, or experience, whether gained on the job or otherwise, information that is readily ascertainable to the public, or information that Employee otherwise has a right to disclose as legally protected conduct. Where a noncompete in this agreement is void under Md. Code, Lab. &amp; Empl. § 3-716, this section and the client-list terms remain fully effective, because § 3-716(a)(2)'s void rule does not reach provisions with respect to the taking or use of a client or patient list or other proprietary client-related or patient-related information.</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disclosing information that arises from Employee's general training, knowledge, skill, or experience, information readily ascertainable to the public, or information Employee otherwise has a right to disclose as legally protected conduct;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including customer lists and pricing information. Where permitted, Employee must permanently delete electronic copies of Confidential Information from personal devices and accounts. Employee must certify compliance with this section in writing upon Employer's request. Maryland's recent trade-secret litigation turned on customer lists and pricing data leaving with departing employees (Ingram v. Cantwell-Cleary Co., 259 Md. App. 102 (2023)), and a signed certification is the cleanest contemporaneous record if that material later surfaces at a competitor.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Md. Code, Lab. &amp; Empl. § 3-716 does not address employee non-solicits, so this covenant is judged on the ordinary Maryland reasonableness test, and it is drawn as a relationship-based restraint no broader than reasonably necessary to protect Employer's Protected Interests.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Protecting Employer's client relationships and against the solicitation of its customers is squarely within the interests Maryland recognizes (Becker v. Bailey, 268 Md. 93 (1973)), and Md. Code, Lab. &amp; Empl. § 3-716(a)(2) carves provisions with respect to the taking or use of a client or patient list or other proprietary client-related or patient-related information out of the statute's void rule. This covenant is scoped to Covered Customers with whom Employee had material contact during the lookback period stated in Cover Terms and is drawn no broader than reasonably necessary to protect Employer's Protected Interests.</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which moves the clause away from the solicitation interest Maryland protects and toward blocking ordinary competition. The parties include this covenant only where a genuine client-relationship or Trade-Secret interest supports it, and it is drawn no broader than reasonably necessary to protect Employer's Protected Interests. Its inclusion is a deliberate risk decision, not boilerplate.</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subject in all respects to the Maryland Statutory Worker-Class Voids section above: if Employee falls within a class for which Md. Code, Lab. &amp; Empl. § 3-716 makes a noncompete null and void, this covenant does not apply to or bind Employee. For an employee who must be licensed under the Health Occupations Article, provides direct patient care, and earns more than $350,000 in total annual compensation under an agreement executed on or after July 1, 2025, this covenant may be in effect for no longer than one year from the last day of employment and may impose no geographical restriction exceeding ten miles from the primary place of employment (§ 3-716(b)(1)–(2)); for such an employee the Restricted Period and Restricted Territory stated in Cover Terms must themselves be set at no more than one year and ten miles, and Employer must draft those Cover Terms values within the ceilings rather than rely on judicial narrowing, which Maryland's strict blue-pencil approach may decline to perform. Staying inside that cap is necessary but not sufficient: any covenant that survives § 3-716 must also satisfy the Becker common-law test — supported by adequate consideration, ancillary to the employment, and confined within limits no wider as to area and duration than reasonably necessary to protect Employer's Protected Interests, without undue hardship on Employee or harm to the public (Becker v. Bailey, 268 Md. 93 (1973)). Passive Public Holdings are permitted.</w:t>
      </w:r>
    </w:p>
    <w:p>
      <w:pPr>
        <w:pStyle w:val="OABody"/>
        <w:keepNext/>
        <w:numPr>
          <w:ilvl w:val="0"/>
          <w:numId w:val="1"/>
        </w:numPr>
        <w:spacing w:before="320" w:after="120" w:line="340" w:lineRule="auto"/>
        <w:jc w:val="left"/>
      </w:pPr>
      <w:r>
        <w:rPr>
          <w:b/>
          <w:bCs/>
        </w:rPr>
        <w:t xml:space="preserve">Named-Competitor Narrowing</w:t>
      </w:r>
    </w:p>
    <w:p>
      <w:pPr>
        <w:pStyle w:val="OABody"/>
        <w:spacing w:before="0" w:after="120" w:line="340" w:lineRule="auto"/>
        <w:ind w:left="720"/>
      </w:pPr>
      <w:r>
        <w:t xml:space="preserve">Where Employer has identified its actual competitors in Cover Terms under Specified Competitors, the non-competition covenant binds Employee only as to those named competitors and their lines of business, rather than the open-ended Competitive Business definition. A named list is the most concrete evidence a Maryland court will accept that the covenant is tailored to what is necessary to effectuate Employer's Protected Interests (Fowler v. Printers II, Inc., 89 Md. App. 448 (1991)).</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and is subject to the Maryland Statutory Worker-Class Voids section and, for a covered high-earner clinician, to the one-year and ten-mile ceilings of § 3-716(b); it is drawn no broader than reasonably necessary to protect Employer's Protected Interests.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w:t>
      </w:r>
    </w:p>
    <w:p>
      <w:pPr>
        <w:pStyle w:val="OABody"/>
        <w:keepNext/>
        <w:numPr>
          <w:ilvl w:val="0"/>
          <w:numId w:val="1"/>
        </w:numPr>
        <w:spacing w:before="320" w:after="120" w:line="340" w:lineRule="auto"/>
        <w:jc w:val="left"/>
      </w:pPr>
      <w:r>
        <w:rPr>
          <w:b/>
          <w:bCs/>
        </w:rPr>
        <w:t xml:space="preserve">Health-Care Provider Notices and Patient Communications</w:t>
      </w:r>
    </w:p>
    <w:p>
      <w:pPr>
        <w:pStyle w:val="OABody"/>
        <w:spacing w:before="0" w:after="120" w:line="340" w:lineRule="auto"/>
        <w:ind w:left="720"/>
      </w:pPr>
      <w:r>
        <w:t xml:space="preserve">Maryland's health care rules under Md. Code, Lab. &amp; Empl. § 3-716 reach every Health Occupations Article licensee in a direct-patient-care role, not only physicians. For an agreement executed on or after July 1, 2025, any noncompete in this agreement is void for such an employee earning $350,000 or less (§ 3-716(a)(1)(i)2), and for such an employee earning more than $350,000 the covenant is capped at one year and ten miles under the Non-Competition section (§ 3-716(b)(1)–(2)). Where Employee is covered by § 3-716(b), Employer must, on request of a patient, provide notice to the patient of the new location where Employee will be practicing (§ 3-716(b)(3)); Employer will maintain an operational process to honor those requests. Nothing in this agreement restricts a departing clinician, or Employer, from communicating a patient's right to continue care with Employee at a new location.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Employee signed for another employer may be void or unenforceable to the extent it falls within a class Md. Code, Lab. &amp; Empl. § 3-716 protects.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and Employer has a reasonable belief that Employee may breach that covenant. Employer will not present or attempt to enforce against a third party a covenant that is void under Md. Code, Lab. &amp; Empl. § 3-716 for Employee's worker class, because a warning letter built on a void covenant asserts rights Employer never had.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no Maryland statute or appellate decision squarely authorizes automatic tolling or enforcement of an extension-on-breach clause after a covenant's stated period expires, and that the safest reading is that any extension is itself a restraint that must satisfy the same fact-specific reasonableness test as the covenant (Ruhl v. F. A. Bartlett Tree Expert Co., 245 Md. 118 (1967); Becker v. Bailey, 268 Md. 93 (1973)). Accordingly, the Restricted Period for each covenant runs from the date Employee's employment ends and is not extended by any period of breach, except that Employer may seek a separate, bounded restraint tied to the duration of a breach where a court finds it reasonable on the facts.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Independent of any covenant, actual or threatened misappropriation of Employer's Trade Secrets may be enjoined under the Maryland Uniform Trade Secrets Act (Md. Code, Com. Law § 11-1202(a)), and a court may award exemplary damages up to twice the compensatory award for willful and malicious misappropriation (§ 11-1203(d)). Consistent with Ingram v. Cantwell-Cleary Co., 259 Md. App. 102 (2023), a court's decision not to enforce a covenant or its liquidated-damages terms does not bar Employer from recovering separately for trade-secret misappropriation, and the remedy provisions are drafted to stack deliberately rather than collide. Any fee-shifting between the parties is mutual and prevailing-party based.</w:t>
      </w:r>
    </w:p>
    <w:p>
      <w:pPr>
        <w:pStyle w:val="OABody"/>
        <w:keepNext/>
        <w:numPr>
          <w:ilvl w:val="0"/>
          <w:numId w:val="1"/>
        </w:numPr>
        <w:spacing w:before="320" w:after="120" w:line="340" w:lineRule="auto"/>
        <w:jc w:val="left"/>
      </w:pPr>
      <w:r>
        <w:rPr>
          <w:b/>
          <w:bCs/>
        </w:rPr>
        <w:t xml:space="preserve">Severability and Severable Tiers</w:t>
      </w:r>
    </w:p>
    <w:p>
      <w:pPr>
        <w:pStyle w:val="OABody"/>
        <w:spacing w:before="0" w:after="120" w:line="340" w:lineRule="auto"/>
        <w:ind w:left="720"/>
      </w:pPr>
      <w:r>
        <w:t xml:space="preserve">If any provision of this agreement is found to be unenforceable, the remaining provisions remain in full force and effect. Maryland courts blue-pencil rather than rewrite: a court may cross out a violative, severable portion and enforce the remainder, but only if the remaining words still form a complete and valid contract, and an indivisible overbroad term voids the whole covenant (Holloway v. Faw, Casson &amp; Co., 78 Md. App. 205 (1989), aff'd in part &amp; rev'd in part, 319 Md. 324 (1990)). Each restrictive covenant in this agreement is therefore drafted as separate, severable tiers of duration, territory, and covered activity so that a court can strike an excessive tier and enforce the lawful remainder, working no injury to the public and no injustice to the parties (Hebb v. Stump, Harvey &amp; Cook, Inc., 25 Md. App. 478 (1975)).</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This agreement does not rely on any savings or reformation clause that asks a court to redraft an indivisible overbroad covenant into a narrower one, and it does not purport to obligate any court to narrow, blue-pencil, or reform any covenant. Maryland courts blue-pencil but do not rewrite, and under the strict mechanical rule a covenant survives only if the excess restraint can be crossed out while the remaining words still constitute a complete, valid contract (Holloway v. Faw, Casson &amp; Co., 78 Md. App. 205 (1989), aff'd in part &amp; rev'd in part, 319 Md. 324 (1990)). Because an indivisible overbroad term gives a Maryland court nothing to enforce, each covenant here is instead drawn within the enforceable scope Maryland law permits at the outset and structured in severable tiers rather than as a single aggressive term paired with a plea for reformation.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each survival period is stated per covenant so that every clock is independently checkable — perpetual for Trade Secrets, finite elsewhere. Obligations under the Confidential Information and Trade Secret Protection section survive as long as the relevant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The parties acknowledge that Md. Code, Lab. &amp; Empl. § 3-716 tests Employee's wage and occupation, not the employer's identity, so an assignment moves the covenant but never lifts Employee out of a void or capped category, and any assignee inherits the patient-notice duty along with any clinician covenant under § 3-716(b)(3).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Maryland records no statutory override of contractual choice of law or forum for restrictive covenants, but Md. Code, Lab. &amp; Empl. § 3-716 declares covered covenants null and void as against the public policy of the State, so for a Maryland-based worker a court may weigh whether a foreign-law or foreign-forum selection can sidestep protections the State calls public policy. For such a worker the parties select Maryland law and a Maryland forum for disputes over the enforceability of the restrictive covenants; all other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Md. Code, Lab. &amp; Empl. § 3-716's health care expansion reaches agreements executed on or after July 1, 2025, so re-papering or re-executing an older covenant may pull it into the modern regime the original signing predated, and any such amendment is a conscious regime choice.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(Maryland)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(Maryland)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(Maryland)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