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 In Maine the signing date starts the six-months half of the § 599-A(5) delayed-effectiveness clock, and the date the agreement is entered into or renewed determines whether the L.D. 2200 health-care-practitioner restriction reaches it, so the date carries unusual weight.]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Maine</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Maine Statutory Gates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Pre-Offer Disclosure Date</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[Date the employer disclosed to the employee or prospective employee that the position will require a non-compete. Under 26 M.R.S. § 599-A(4) the employer must disclose the non-compete requirement before making the offer of employment.]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Agreement Delivery Date</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[Date the employer delivered a copy of this agreement to the employee. Under 26 M.R.S. § 599-A(4) the copy must be provided not less than three business days before the required signing date so the employee has time to review and negotiate.]</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Required Signing Date</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[Earliest date on which the employer requires the agreement to be signed. Under 26 M.R.S. § 599-A(4) this must be at least three business days after the delivery date.]</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Non-Compete Wage Floor</w:t>
            </w:r>
          </w:p>
        </w:tc>
        <w:tc>
          <w:tcPr>
            <w:tcW w:w="6480" w:type="dxa"/>
            <w:tcMar>
              <w:top w:w="60" w:type="dxa"/>
              <w:left w:w="0" w:type="dxa"/>
              <w:bottom w:w="60" w:type="dxa"/>
              <w:right w:w="0" w:type="dxa"/>
            </w:tcMar>
          </w:tcPr>
          <w:p>
            <w:r>
              <w:rPr>
                <w:rFonts w:ascii="Arial" w:hAnsi="Arial" w:cs="Arial"/>
                <w:i/>
                <w:iCs/>
                <w:color w:val="494A4B"/>
                <w:sz w:val="21"/>
                <w:szCs w:val="21"/>
              </w:rPr>
              <w:t xml:space="preserve">400% of the federal poverty level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Non-Compete Effectiveness</w:t>
            </w:r>
          </w:p>
        </w:tc>
        <w:tc>
          <w:tcPr>
            <w:tcW w:w="6480" w:type="dxa"/>
            <w:tcMar>
              <w:top w:w="60" w:type="dxa"/>
              <w:left w:w="0" w:type="dxa"/>
              <w:bottom w:w="60" w:type="dxa"/>
              <w:right w:w="0" w:type="dxa"/>
            </w:tcMar>
          </w:tcPr>
          <w:p>
            <w:r>
              <w:rPr>
                <w:rFonts w:ascii="Arial" w:hAnsi="Arial" w:cs="Arial"/>
                <w:i/>
                <w:iCs/>
                <w:color w:val="494A4B"/>
                <w:sz w:val="21"/>
                <w:szCs w:val="21"/>
              </w:rPr>
              <w:t xml:space="preserve">the later of one year of employment or six months from signing (26 M.R.S. § 599-A(5))</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the protected goodwill or confidential information would actually be exploited</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customer lists, pricing, business processes, technical data, and strategic plans, but excluding information that becomes public through no fault of Employee, information that arises from Employee's general skill and knowledge whether gained on the job or otherwise, information that is readily ascertainable to the public, and information Employee otherwise has a right to disclose as legally protected conduct.</w:t>
      </w:r>
    </w:p>
    <w:p>
      <w:pPr>
        <w:pStyle w:val="OABody"/>
        <w:numPr>
          <w:ilvl w:val="1"/>
          <w:numId w:val="1"/>
        </w:numPr>
        <w:spacing w:before="0" w:after="120" w:line="340" w:lineRule="auto"/>
      </w:pPr>
      <w:r>
        <w:rPr>
          <w:b/>
          <w:bCs/>
          <w:color w:val="117086"/>
        </w:rPr>
        <w:t xml:space="preserve">“Covered Customers”</w:t>
      </w:r>
      <w:r>
        <w:t xml:space="preserve"> means customers, vendors, referral sources, and business partners with whom Employee had material contact or for whom Employee had responsibility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“Covered Employees”</w:t>
      </w:r>
      <w:r>
        <w:t xml:space="preserve"> means employees with whom Employee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legitimate business interests that 26 M.R.S. § 599-A(2) permits a Maine restrictive covenant to protect: Employer's trade secrets, Employer's confidential information that does not qualify as a trade secret, and Employer's goodwill. Each restrictive covenant in this agreement is supported by, and drawn no broader than reasonably necessary to protect, one or more of those interests. A covenant aimed only at ordinary competition sits outside the statutory frame.</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initiate contact with, approach, induce, or encourage any person or entity for the purpose of diverting business away from Employer, but does not include responding to general advertisements or unsolicited inquiries not initiated by Employee.</w:t>
      </w:r>
    </w:p>
    <w:p>
      <w:pPr>
        <w:pStyle w:val="OABody"/>
        <w:numPr>
          <w:ilvl w:val="1"/>
          <w:numId w:val="1"/>
        </w:numPr>
        <w:spacing w:before="0" w:after="120" w:line="340" w:lineRule="auto"/>
      </w:pPr>
      <w:r>
        <w:rPr>
          <w:b/>
          <w:bCs/>
          <w:color w:val="117086"/>
        </w:rPr>
        <w:t xml:space="preserve">“Trade Secrets”</w:t>
      </w:r>
      <w:r>
        <w:t xml:space="preserve"> means information that qualifies as a trade secret under the Maine Uniform Trade Secrets Act, 10 M.R.S. § 1542, which 26 M.R.S. § 599-A cross-references, and under applicable federal law, including information that derives independent economic value from not being generally known to, and not being readily ascertainable through proper means by, another person who can obtain economic value from its disclosure or use (see the federal Defend Trade Secrets Act, 18 U.S.C. § 1839(3)).</w:t>
      </w:r>
    </w:p>
    <w:p>
      <w:pPr>
        <w:pStyle w:val="OABody"/>
        <w:keepNext/>
        <w:numPr>
          <w:ilvl w:val="0"/>
          <w:numId w:val="1"/>
        </w:numPr>
        <w:spacing w:before="320" w:after="120" w:line="340" w:lineRule="auto"/>
        <w:jc w:val="left"/>
      </w:pPr>
      <w:r>
        <w:rPr>
          <w:b/>
          <w:bCs/>
        </w:rPr>
        <w:t xml:space="preserve">Recitals and Legitimate Business Interest</w:t>
      </w:r>
    </w:p>
    <w:p>
      <w:pPr>
        <w:pStyle w:val="OABody"/>
        <w:spacing w:before="0" w:after="120" w:line="340" w:lineRule="auto"/>
        <w:ind w:left="720"/>
      </w:pPr>
      <w:r>
        <w:t xml:space="preserve">Employer and Employee acknowledge that each restrictive covenant in this agreement is ancillary to a valid employment relationship and is included to protect one or more of the Protected Interests recognized by 26 M.R.S. § 599-A(2): Employer's trade secrets, Employer's confidential information that is not a trade secret, or Employer's goodwill. Employee will receive access to Employer's Confidential Information and Trade Secrets in the course of employment. Any non-compete in this agreement is included only because Employer has determined that the Protected Interest it serves cannot be adequately protected through an alternative restrictive covenant — including the non-solicitation and confidentiality covenants in this agreement — as contemplated by the alternatives presumption in 26 M.R.S. § 599-A(2). Each covenant is reasonable and no broader than necessary to protect the named interest, and the parties intend each covenant to be drawn within the scope Maine law permits at the outset rather than in reliance on any judicial narrowing.</w:t>
      </w:r>
    </w:p>
    <w:p>
      <w:pPr>
        <w:pStyle w:val="OABody"/>
        <w:keepNext/>
        <w:numPr>
          <w:ilvl w:val="0"/>
          <w:numId w:val="1"/>
        </w:numPr>
        <w:spacing w:before="320" w:after="120" w:line="340" w:lineRule="auto"/>
        <w:jc w:val="left"/>
      </w:pPr>
      <w:r>
        <w:rPr>
          <w:b/>
          <w:bCs/>
        </w:rPr>
        <w:t xml:space="preserve">Timing, Pre-Offer Disclosure, and Review Window</w:t>
      </w:r>
    </w:p>
    <w:p>
      <w:pPr>
        <w:pStyle w:val="OABody"/>
        <w:spacing w:before="0" w:after="120" w:line="340" w:lineRule="auto"/>
        <w:ind w:left="720"/>
      </w:pPr>
      <w:r>
        <w:t xml:space="preserve">This agreement is effective as of the Effective Date listed in Cover Terms. Where this agreement includes a non-compete, Employer and Employee acknowledge that 26 M.R.S. § 599-A(4) imposes two statutory timing duties on Employer. First, Employer disclosed the non-compete requirement to Employee before making the offer of employment, on the Pre-Offer Disclosure Date listed in Cover Terms. Second, Employer provided Employee a copy of this agreement on the Agreement Delivery Date listed in Cover Terms, which is not less than three business days before the Required Signing Date, so that Employee had time to review the agreement and negotiate its terms or the terms of employment. Employee may consult an attorney during that period. The parties acknowledge that a signature collected on time does not cure a missed pre-offer disclosure or a shortened review window, because those duties sit upstream of execution.</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for the period specified in Cover Terms under Trade Secrets Duration, which is intended to last as long as the information remains a trade secret. Employee's obligations regarding other Confidential Information continue for the period specified in Cover Terms under Other Confidential Information Duration. Consistent with Bernier v. Merrill Air Eng'rs, 2001 ME 17, 770 A.2d 97, this section protects Employer's specialized, proprietary information and does not prohibit Employee from using the general skill and knowledge Employee acquired during employment, from disclosing information that is readily ascertainable to the public, or from disclosing information that Employee otherwise has a right to disclose as legally protected conduct.</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Maine Human Rights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(e) reporting or discussing unlawful employment discrimination occurring in the workplace or at work-related events, which 26 M.R.S. § 599-C(2) preserves and which no term of this agreement waives or limits; or (f)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is limited to initiating contact with or actively soliciting Covered Employees; it does not prohibit Employee from providing a professional reference upon request or from hiring a person who responds to a general advertisement not directed specifically at Employer's employees. 26 M.R.S. § 599-A(2) names a non-solicitation agreement among the alternative restrictive covenants the statute prefers to a non-compete, and this covenant is drawn to stay the lighter tool rather than a de facto hiring ban.</w:t>
      </w:r>
    </w:p>
    <w:p>
      <w:pPr>
        <w:pStyle w:val="OABody"/>
        <w:keepNext/>
        <w:numPr>
          <w:ilvl w:val="0"/>
          <w:numId w:val="1"/>
        </w:numPr>
        <w:spacing w:before="320" w:after="120" w:line="340" w:lineRule="auto"/>
        <w:jc w:val="left"/>
      </w:pPr>
      <w:r>
        <w:rPr>
          <w:b/>
          <w:bCs/>
        </w:rPr>
        <w:t xml:space="preserve">Non-Solicitation of Customers, Vendors, Referral Sources, and Business Partners</w:t>
      </w:r>
    </w:p>
    <w:p>
      <w:pPr>
        <w:pStyle w:val="OABody"/>
        <w:spacing w:before="0" w:after="120" w:line="340" w:lineRule="auto"/>
        <w:ind w:left="720"/>
      </w:pPr>
      <w:r>
        <w:t xml:space="preserve">During the Restricted Period, Employee must not Solicit the business of any Covered Customer. 26 M.R.S. § 599-A(2) names a non-solicitation agreement among the alternative restrictive covenants the statute prefers, but preference is not a pass: this covenant is included solely to protect Employer's goodwill and confidential information and is no broader than reasonably necessary to protect that interest, and it is limited to Covered Customers Employee actually served during the look-back period stated in Cover Terms.</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if the Covered Customer approaches Employee, which moves it away from the alternative restrictive covenants 26 M.R.S. § 599-A(2) prefers and toward the restraint the statute presumptively disfavors. The parties include this covenant only where a genuine goodwill or confidential-information interest supports it, and it is drawn no broader than reasonably necessary to protect that interest.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Under 26 M.R.S. § 599-A(2) a Maine non-compete is contrary to public policy and enforceable only to the extent it is reasonable and no broader than necessary to protect a Protected Interest; this covenant is included solely to protect Employer's Protected Interests and is drawn no wider than necessary to protect them (Lord v. Lord, 454 A.2d 830 (Me. 1983); Sisters of Charity Health Sys., Inc. v. Farrago, 2011 ME 62, 21 A.3d 110). This covenant does not apply, and Employer may not require or enter into it, if Employee earns wages at or below the Non-Compete Wage Floor listed in Cover Terms — 400% of the federal poverty level — under 26 M.R.S. § 599-A(3)(A). This covenant does not apply to a licensed veterinarian working in a veterinary facility unless Employee has an ownership interest in that facility (26 M.R.S. § 599-A(3)). Consistent with 26 M.R.S. § 599-A(5), the terms of this covenant do not take effect until the Non-Compete Effectiveness point listed in Cover Terms — the later of one year of Employee's employment with Employer or six months from the date this agreement was signed — except that, for an agreement between Employer and an allopathic physician or an osteopathic physician licensed under Title 32, chapter 48 or chapter 36, respectively, that delayed-effectiveness rule does not apply.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Passive Public Holdings are permitted. Because this covenant restrains active roles at and material participation in a Competitive Business, it functions as a non-compete under 26 M.R.S. § 599-A; it therefore applies only to protect Employer's Protected Interests, is drawn no broader than reasonably necessary to protect them, and is subject to the same wage-floor, veterinarian, and delayed-effectiveness limits stated in the Non-Competition section.</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discussing wages, hours, or working conditions as protected by law, reporting or discussing unlawful employment discrimination as preserved by 26 M.R.S. § 599-C(2), or otherwise exercising rights protected by law.</w:t>
      </w:r>
    </w:p>
    <w:p>
      <w:pPr>
        <w:pStyle w:val="OABody"/>
        <w:keepNext/>
        <w:numPr>
          <w:ilvl w:val="0"/>
          <w:numId w:val="1"/>
        </w:numPr>
        <w:spacing w:before="320" w:after="120" w:line="340" w:lineRule="auto"/>
        <w:jc w:val="left"/>
      </w:pPr>
      <w:r>
        <w:rPr>
          <w:b/>
          <w:bCs/>
        </w:rPr>
        <w:t xml:space="preserve">Health-Care Practitioner and Physician Notices</w:t>
      </w:r>
    </w:p>
    <w:p>
      <w:pPr>
        <w:pStyle w:val="OABody"/>
        <w:spacing w:before="0" w:after="120" w:line="340" w:lineRule="auto"/>
        <w:ind w:left="720"/>
      </w:pPr>
      <w:r>
        <w:t xml:space="preserve">Two Maine rules on health-care workers run in opposite directions and both apply to this agreement. First, the delayed-effectiveness rule in 26 M.R.S. § 599-A(5) does not apply to a non-compete between Employer and an allopathic physician or an osteopathic physician licensed under Title 32, chapter 48 or chapter 36, respectively; for such a physician, the covenant is not held dormant by that timing rule. Second, that carve-out is a timing rule only and is not a healthcare-wide permission: L.D. 2200 (2026), An Act Relating to Noncompete Agreements Between Employers and Health Care Practitioners, applies to all noncompete agreements entered into or renewed on or after July 13, 2026, and reaches health-care practitioners far more broadly than the physician class. Where Employee is a health-care practitioner and this agreement is entered into or renewed on or after that date, the non-compete must be evaluated under L.D. 2200 rather than on the pre-amendment § 599-A rules alone, and counsel must confirm the codified statutory text because the published § 599-A page may lag the amendment.</w:t>
      </w:r>
    </w:p>
    <w:p>
      <w:pPr>
        <w:pStyle w:val="OABody"/>
        <w:keepNext/>
        <w:numPr>
          <w:ilvl w:val="0"/>
          <w:numId w:val="1"/>
        </w:numPr>
        <w:spacing w:before="320" w:after="120" w:line="340" w:lineRule="auto"/>
        <w:jc w:val="left"/>
      </w:pPr>
      <w:r>
        <w:rPr>
          <w:b/>
          <w:bCs/>
        </w:rPr>
        <w:t xml:space="preserve">No Employer-to-Employer No-Poach Terms</w:t>
      </w:r>
    </w:p>
    <w:p>
      <w:pPr>
        <w:pStyle w:val="OABody"/>
        <w:spacing w:before="0" w:after="120" w:line="340" w:lineRule="auto"/>
        <w:ind w:left="720"/>
      </w:pPr>
      <w:r>
        <w:t xml:space="preserve">Nothing in this agreement is, or authorizes, a restrictive employment agreement between employers. Under 26 M.R.S. § 599-B, an employer may not enter into, enforce, or threaten to enforce an agreement with one or more other employers — including through franchise agreements and contractor or subcontractor arrangements — that restricts one employer from soliciting or hiring another employer's employees or former employees. A violation is a civil violation carrying a fine of not less than $5,000, enforced by the Maine Department of Labor (26 M.R.S. § 599-B(3)). No provision of this agreement, and no commercial arrangement it implements, may contain any such employer-to-employer no-poach term.</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The parties acknowledge that a covenant Employee signed elsewhere may never have ripened under Maine's delayed-effectiveness analysis, or may purport to bind a worker Maine would not allow to be bound, and that this representation is meant to surface such questions before the first customer contact.</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 prospective employer or business associate of Employee only where a covenant in this agreement is enforceable against Employee under Maine law and Employer has a reasonable belief that Employee may breach that covenant. Any such notice must be factual and tied to an enforceable covenant. Nothing in this section authorizes any arrangement with the new employer about who may solicit or hire whom, because an employer-to-employer restriction of that kind is exactly what 26 M.R.S. § 599-B prohibits. Employee consents to a disclosure permitted by this section.</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The parties acknowledge that no Maine statute or decision in the governing materials addresses whether a restricted period extends during a breach, and that Maine's delayed-effectiveness rule already makes the covenant's timing intricate. Any extension also lengthens a duration that must remain reasonable under Maine's fact-intensive test (Sisters of Charity Health Sys., Inc. v. Farrago, 2011 ME 62, 21 A.3d 110). Accordingly, the Restricted Period for each covenant runs from the date Employee's employment ends and is not extended by any period of breach.</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and Employer may seek injunctive or other equitable relief in addition to any other remedies available at law. Where the protected asset is a trade secret, actual or threatened misappropriation may be restrained or enjoined directly under the Maine Uniform Trade Secrets Act (10 M.R.S. § 1543). Under that act, the court may award actual-loss, unjust-enrichment, reasonable-royalty, and, for willful and malicious misappropriation, exemplary damages (10 M.R.S. § 1544), and may award reasonable attorney fees to the prevailing party for a bad-faith claim, a bad-faith motion regarding an injunction, or willful and malicious misappropriation (10 M.R.S. § 1545). Any fee-shifting between the parties under this agreement is mutual and prevailing-party based rather than a one-way employer term.</w:t>
      </w:r>
    </w:p>
    <w:p>
      <w:pPr>
        <w:pStyle w:val="OABody"/>
        <w:keepNext/>
        <w:numPr>
          <w:ilvl w:val="0"/>
          <w:numId w:val="1"/>
        </w:numPr>
        <w:spacing w:before="320" w:after="120" w:line="340" w:lineRule="auto"/>
        <w:jc w:val="left"/>
      </w:pPr>
      <w:r>
        <w:rPr>
          <w:b/>
          <w:bCs/>
        </w:rPr>
        <w:t xml:space="preserve">Enforceability and Severability</w:t>
      </w:r>
    </w:p>
    <w:p>
      <w:pPr>
        <w:pStyle w:val="OABody"/>
        <w:spacing w:before="0" w:after="120" w:line="340" w:lineRule="auto"/>
        <w:ind w:left="720"/>
      </w:pPr>
      <w:r>
        <w:t xml:space="preserve">If any provision of this agreement is found to be unenforceable, the remaining provisions remain in full force and effect. Each restrictive covenant in this agreement is intended to be independently enforceable and is drawn in separable tiers so that an unenforceable covenant does not affect the others.</w:t>
      </w:r>
    </w:p>
    <w:p>
      <w:pPr>
        <w:pStyle w:val="OABody"/>
        <w:keepNext/>
        <w:numPr>
          <w:ilvl w:val="0"/>
          <w:numId w:val="1"/>
        </w:numPr>
        <w:spacing w:before="320" w:after="120" w:line="340" w:lineRule="auto"/>
        <w:jc w:val="left"/>
      </w:pPr>
      <w:r>
        <w:rPr>
          <w:b/>
          <w:bCs/>
        </w:rPr>
        <w:t xml:space="preserve">No Reliance on Judicial Reformation</w:t>
      </w:r>
    </w:p>
    <w:p>
      <w:pPr>
        <w:pStyle w:val="OABody"/>
        <w:spacing w:before="0" w:after="120" w:line="340" w:lineRule="auto"/>
        <w:ind w:left="720"/>
      </w:pPr>
      <w:r>
        <w:t xml:space="preserve">Maine assesses a non-compete only as the employer has sought to apply it, not as it might have been enforced on its terms (Brignull v. Albert, 666 A.2d 82 (Me. 1995)), and whether a Maine court will rewrite an overbroad covenant as drafted is unsettled. The Law Court has also required specificity about the protected goodwill or business value before a severe restraint issues, directing that the protected asset be defined first and only then the scope reasonably necessary to protect it (Lord v. Lord, 454 A.2d 830 (Me. 1983)). This agreement therefore does not rely on any savings or reformation clause to cure overbreadth. Each restrictive covenant is instead drawn to the restraint Employer actually intends to enforce, with the record tying its scope to a named Protected Interest, and as-applied review is treated as a discipline on enforcement requests rather than an invitation to draft broad.</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as long as the relevant information remains a trade secret. Because a non-compete may still be dormant when employment ends if the § 599-A(5) effectiveness period has not run, this section does not assume that every covenant was operative from the first day of employment.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The parties acknowledge the Maine renewal trap: a covenant re-signed or re-papered in connection with a transaction restarts the six-months-from-signing half of the § 599-A(5) effectiveness clock, and a renewal on or after July 13, 2026 pulls a health-care practitioner's covenant into the L.D. 2200 restriction. This agreement is binding on and inures to the benefit of the parties and their respective heirs, successors, and permitted assigns.</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For a worker who primarily resides and works in Maine, this agreement is drawn to be read under Maine law, whose § 599-A framework treats non-competes as contrary to public policy and imposes the disclosure, review-window, and delayed-effectiveness mechanics recited above; a choice-of-law clause selecting another state's law for such a worker should be treated as a localization gap to investigate rather than deferred to. Accordingly, for a Maine-based worker, this agreement is governed by Maine law and disputes over the enforceability of the covenants will be resolved in a Maine forum. All other disputes will be resolved in the courts of the Governing Law state, subject to non-waivable rights under applicable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an amendment that re-papers a non-compete restarts the six-months-from-signing half of the § 599-A(5) effectiveness clock and that a renewal on or after July 13, 2026 can carry the covenant into the L.D. 2200 health-care-practitioner restriction.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(Maine)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(Maine)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(Maine)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