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Kentucky</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Consideration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Signed After Employment Started</w:t>
            </w:r>
          </w:p>
        </w:tc>
        <w:tc>
          <w:tcPr>
            <w:tcW w:w="6480" w:type="dxa"/>
            <w:tcMar>
              <w:top w:w="60" w:type="dxa"/>
              <w:left w:w="0" w:type="dxa"/>
              <w:bottom w:w="60" w:type="dxa"/>
              <w:right w:w="0" w:type="dxa"/>
            </w:tcMar>
          </w:tcPr>
          <w:p>
            <w:r>
              <w:rPr>
                <w:rFonts w:ascii="Arial" w:hAnsi="Arial" w:cs="Arial"/>
                <w:i/>
                <w:iCs/>
                <w:color w:val="494A4B"/>
                <w:sz w:val="21"/>
                <w:szCs w:val="21"/>
              </w:rPr>
              <w:t xml:space="preserve">false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New Consideration Provided</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Kentucky covenant may protect under the common-law fair-protection standard, namely Employer's Confidential Information, Employer's trade secrets as defined by the Kentucky Uniform Trade Secrets Act (KRS 365.880(4)), and Employer's goodwill in its customer, vendor, referral-source, and business-partner relationships,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Kentucky Uniform Trade Secrets Act, KRS 365.880(4).</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Kentucky has no general non-compete statute; enforceability is governed by the common-law reasonableness standard restated in Kegel v. Tillotson, 297 S.W.3d 908 (Ky. App. 2009), under which a restraint of trade is reasonable only if, on consideration of the subject, the nature of the business, the situation of the parties, and the circumstances of the particular case, the restriction affords only fair protection to the interests of the covenantee and is not so large as to interfere with the public interests or impose undue hardship on the party restricted.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valid consideration and record the timing of execution relative to the start of employment in Cover Terms. If this agreement is signed at the outset of employment, the offer and commencement of employment is itself adequate consideration for the covenants. If Employee is an existing employee at the time of signing — that is, if the agreement is signed after employment began — the covenants must be supported by independent, new consideration beyond continued at-will employment, because under Charles T. Creech, Inc. v. Brown, 433 S.W.3d 345 (Ky. 2014), a covenant signed by a current employee who receives nothing new fails for lack of consideration where the employer forbears no legal right and the employee gains no new benefit. For any such mid-employment covenant, the specific new value exchanged — for example a bonus, a raise, a promotion, or specialized training — is identified in Cover Terms under New Consideration Provided and was actually delivered to Employee; the parties acknowledge that a bare recital of consideration does not, by itself, cure a missing exchange under Creech, and this agreement does not rely on recital language alone to supply consideration for a mid-employment covenant. Employee acknowledges having had the opportunity to consult with independent legal counsel before signing this agreement. Employee acknowledges that the restrictions in this agreement are reasonable and necessary to protect Employer's Protected Interests, and understands that valid consideration establishes only that the covenants are supported, not that they are reasonable — each covenant must independently satisfy the Kegel fair-protection standard on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Kentucky law, including the Kentucky Uniform Trade Secrets Act, KRS 365.880 through 365.900, which defines a trade secret by its independent economic value from not being generally known and by efforts that are reasonable under the circumstances to maintain its secrecy (KRS 365.880(4)).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KRS 365.880(4).</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Kentucky statute speaks to employee non-solicits, so as the lightest restraint in this agreement this covenant is analyzed under the Kegel fair-protection standard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Kentucky courts analyze this customer non-solicitation covenant under the Kegel fair-protection standard (Kegel v. Tillotson, 297 S.W.3d 908 (Ky. App. 2009)); it reaches only Covered Customers with whom Employee had material contact and is no broader than necessary to protect Employer's goodwill in its customer relationships. Because enforcing this covenant turns on proving contact with protected customers rather than meeting the statutory trade-secret threshold,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harder on the undue-hardship and public-interest sides of the Kegel fair-protection standard it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Consistent with the Kegel v. Tillotson fair-protection standard, the parties intend this covenant to afford only fair protection to Employer's interests, to impose no undue hardship on Employee, and to cause no injury to the public, with its time and territory sized to Employee's actual role and Employer's actual market rather than to a safe-harbor number, because Kentucky imposes no statutory cap on duration or territory.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affords only fair protection.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Kegel fair-protection standard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Health Care Services Agency and Temporary Direct Care Staff Covenants</w:t>
      </w:r>
    </w:p>
    <w:p>
      <w:pPr>
        <w:pStyle w:val="OABody"/>
        <w:spacing w:before="0" w:after="120" w:line="340" w:lineRule="auto"/>
        <w:ind w:left="720"/>
      </w:pPr>
      <w:r>
        <w:t xml:space="preserve">Kentucky does not impose a general ban on physician non-competes; a physician or other ordinary clinician is analyzed under the same fair-protection reasonableness and consideration rules as any other employee. Kentucky's one categorical statutory ban targets a different class. If Employer is a health care services agency and Employee is temporary direct care staff contracted with or employed by the agency, this agreement does not, and may not, restrict in any manner Employee's employment opportunities, including through contract buy-out provisions or contract non-compete clauses, because KRS 216.724(1)(a) prohibits such restrictions and a non-complying contract is an unfair trade practice and void pursuant to KRS 365.060 (KRS 216.724(2)). No reasonableness analysis rescues a covenant the statute voids. This ban turns on the agency-and-temporary-staff relationship rather than on a license or job title, and a 2023 amendment leaves the placement of permanent direct care staff outside it. In that situation, any covenant in this agreement that would otherwise restrain Employee's employment opportunities is of no force or effect as to Employee.</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a Kentucky court would refuse to enforce — for missing consideration or overbreadth under the Kegel fair-protection standard — may expose Employer to a tortious-interference claim, and that it should condition any such notice on a restraint it is prepared to defend.</w:t>
      </w:r>
    </w:p>
    <w:p>
      <w:pPr>
        <w:pStyle w:val="OABody"/>
        <w:keepNext/>
        <w:numPr>
          <w:ilvl w:val="0"/>
          <w:numId w:val="1"/>
        </w:numPr>
        <w:spacing w:before="320" w:after="120" w:line="340" w:lineRule="auto"/>
        <w:jc w:val="left"/>
      </w:pPr>
      <w:r>
        <w:rPr>
          <w:b/>
          <w:bCs/>
        </w:rPr>
        <w:t xml:space="preserve">Extension of the Restricted Period During Breach</w:t>
      </w:r>
    </w:p>
    <w:p>
      <w:pPr>
        <w:pStyle w:val="OABody"/>
        <w:spacing w:before="0" w:after="120" w:line="340" w:lineRule="auto"/>
        <w:ind w:left="720"/>
      </w:pPr>
      <w:r>
        <w:t xml:space="preserve">If Employee breaches any restrictive covenant in this agreement, Employer may seek to have the Restricted Period for that covenant extended by a period equal to the duration of the breach, so that Employer receives the benefit of the full duration of the restriction. The parties acknowledge that whether a Kentucky court will toll or extend a restricted period during breach or litigation is an unsettled question: no Kentucky statute or appellate decision squarely endorses automatic tolling, and Kentucky courts reform restraints toward reasonableness rather than mechanically enlarging them. Accordingly, any extension under this section is drafted as a separate, breach-tied, bounded restraint that must itself satisfy the Kegel fair-protection standard; the parties do not intend an open-ended or indefinite extension, and do not assume that a court will revive an expired covenant.</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Kentucky Uniform Trade Secrets Act, KRS 365.880 through 365.900, under which actual or threatened misappropriation of a trade secret may be enjoined independent of any covenant. The court that grants equitable relief is the same court weighing whether each restraint affords only fair protection under the Kegel standard, so the acknowledgement supports the showing but does not replace it. Any fee-shifting provision the parties adopt should be mutual and prevailing-party based; the default American Rule applies if the agreement is silent on fees.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Kentucky courts have adopted a blue-pencil rule and are empowered to reform or amend restrictions in a non-compete clause when the initial restrictions are overly broad or burdensome (Kegel v. Tillotson, 297 S.W.3d 908 (Ky. App. 2009)); a Kentucky court has gone as far as supplying a reasonable geographic limitation a covenant omitted, based on the parties' intent, at least in the sale-of-a-business context (Hodges v. Todd, 698 S.W.2d 317 (Ky. App. 1985)). Employer therefore requests reformation if any restraint in this agreement is found to be overbroad. That power is discretionary rather than automatic: a court is not obligated to rewrite an abusively broad covenant into something enforceable, and this agreement is not drafted in reliance on the blue-pencil power as a safety net. Accordingly,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each is weighed on its own footing for fair protection and hardship so that a defensible covenant is not bundled with a shakier one.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which names the restrictive covenants, because no Kentucky authority squarely resolves how covenants travel in a sale, so the contract text is what a successor will stand on; whoever ends up enforcing still inherits the same consideration and fair-protection reasonableness questions the original Employer faced.</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Kentucky law governs, the enforceability of each restrictive covenant is determined under the common-law fair-protection standard restated in Kegel v. Tillotson and its progeny; there is no general Kentucky non-compete statute and no statutory safe harbor, so each covenant is drafted to survive the holistic reasonableness analysis rather than to escape it. A clause selecting Kentucky law is strongest when it is paired with a genuine connection to Kentucky and a covenant reasonable on its own terms: federal courts sitting elsewhere have honored a contractual Kentucky choice-of-law clause for a non-compete, one applying Kentucky law pursuant to the agreement's choice-of-law and forum-selection clause (Senture, LLC v. Dietrich, 575 F. Supp. 2d 724 (E.D. Va. 2008)) and another holding that applying Kentucky law, which allows blue-penciling, was not so repugnant to the forum's public policy as to override the parties' choice (Edwards Moving &amp; Rigging, Inc. v. W.O. Grubb Steel Erection, Inc., No. 3:12CV146-HEH (E.D. Va. Apr. 23, 2012)). Those decisions are federal trial-court rulings rather than binding Kentucky Supreme Court authority and remain subject to the forum's public-policy limit, so the parties do not treat the choice-of-law clause as automatically dispositive.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 restrictive covenant added by amendment lands on a worker who is by definition already employed, so any such covenant needs independent, new consideration of its own under Charles T. Creech, Inc. v. Brown; a routine refresh that gives Employee nothing new does not, by itself, create an enforceable covenant.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(Kentucky)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(Kentucky)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(Kentucky)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