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Iowa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an Iowa covenant may protect under the three-prong reasonableness test, namely Employer's Confidential Information, Employer's trade secrets as defined by the Iowa Uniform Trade Secrets Act (Iowa Code § 550.2), and Employer's goodwill in its customer, vendor, referral-source, and business-partner relationships — including Employee's close proximity to customers and access to information peculiar to Employer's business — but not Employer's interest in avoiding ordinary competition and not the general skill and knowledge Employee acquired through experience or instruction on the job.</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Iowa Uniform Trade Secrets Act, Iowa Code § 550.2.</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reasonably necessary for that protection. Iowa has no general non-compete statute; enforceability is governed by the common-law three-prong reasonableness test restated in Revere Transducers, Inc. v. Deere &amp; Co., 595 N.W.2d 751 (Iowa 1999), and Lamp v. American Prosthetics, Inc., 379 N.W.2d 909 (Iowa 1986), under which a post-employment restraint is enforceable only if it is reasonably necessary for the protection of the employer's business, is not unreasonably restrictive of the employee's rights, and is not prejudicial to the public interest. The burden of proving reasonableness rests on the employer who seeks enforcement (Iowa Glass Depot, Inc. v. Jindrich, 338 N.W.2d 376 (Iowa 1983)). The parties acknowledge that each covenant is meant to guard Employer's Confidential Information, trade secrets, and customer goodwill — measured against the factors Iowa weighs, including Employee's close proximity to customers, the nature of the business, access to information peculiar to Employer's business, and the nature of the restrained occupation — and not to eliminate ordinary competition or to preclude Employee from using the general skill and knowledge Employee acquired on the job. Each covenant is intended to be reasonable in time, territory, and scope,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employee, the parties agree that, in exchange for Employee's assent to the covenants in this agreement, Employer continues Employee's employment, and continued employment for an indefinite period is sufficient consideration to support a covenant not to compete under Iowa law, even when the covenant is signed after employment begins (Farm Bureau Serv. Co. of Maynard v. Kohls, 203 N.W.2d 209 (Iowa 1972)); no separate payment, raise, or promotion is required.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at formation, not that they are reasonable — each covenant must independently satisfy the three-prong reasonableness test on time, territory, and scope, and continued employment sufficient as consideration does not by itself make an unreasonable covenant enforceable (Iowa Glass Depot, Inc. v. Jindrich, 338 N.W.2d 376 (Iowa 1983)).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Iowa law, including the Iowa Uniform Trade Secrets Act, Iowa Code §§ 550.2–550.6, which defines a trade secret by its independent economic value from not being generally known and by efforts that are reasonable under the circumstances to maintain its secrecy (Iowa Code § 550.2). This confidentiality obligation is intended to operate alongside, and independent of, any restrictive covenant, and does not restrict Employee's use of the general knowledge, skill, and experience Employee acquired through experience or instruction during employment, which Iowa law places outside the reach of a restrictive covenant.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Iowa Code § 550.2, and to position Employer to petition for an injunction against actual or threatened misappropriation under Iowa Code § 550.3.</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No Iowa statute separately regulates employee non-solicits; as the lightest restraint in this agreement, this covenant is analyzed under the same three-prong reasonableness test as every other restraint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Iowa courts analyze this customer non-solicitation covenant under the three-prong reasonableness test (Revere Transducers, Inc. v. Deere &amp; Co., 595 N.W.2d 751 (Iowa 1999); Lamp v. American Prosthetics, Inc., 379 N.W.2d 909 (Iowa 1986)); it reaches only Covered Customers with whom Employee had material contact and is no broader than necessary to protect Employer's goodwill in its customer relationships. This covenant maps directly onto Employer's customer-goodwill interest — customer proximity is among the first factors Iowa courts weigh — and, together with the confidentiality and trade-secret protections in this agreement, is often a stronger and more readily enforceable protection than a broad non-compete. Where Employee is a licensed mental health professional, Iowa Code § 147.161 voids any provision that would prohibit Employee from contacting for professional services a person Employee previously treated, and this covenant does not restrict that contact.</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because it presses harder on the second and third prongs of the reasonableness test — restricting more activity than protection requires and depriving the customer of its chosen provider — it is sized tightly to the goodwill it protects and reaches only Covered Customers with whom Employee had material contact. Iowa courts ask whether the restricted activities exceed what protection requires, and have trimmed no-business restraints to the activities and territory the worker actually served (Farm Bureau Serv. Co. of Maynard v. Kohls, 203 N.W.2d 209 (Iowa 1972)).</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or to preclude Employee from using the general skill and knowledge acquired on the job. Consistent with Iowa's three-prong reasonableness test, and recognizing that Employer bears the burden of proving reasonableness, the parties intend this covenant to be reasonably necessary for the protection of Employer, not unreasonably restrictive of Employee, and not prejudicial to the public interest, with its time and territory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reasonably necessary and leaves Employee free to work elsewhere in the industry. Where Employee is an independent contractor, the same three-prong test applies; the covenant is intended not to force Employee to forsake customers Employee brought to the relationship, which Iowa law treats as unreasonable (AG Spectrum Co. v. Elder, 865 F.3d 1088 (8th Cir. 2017)).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Iowa's three-prong reasonableness test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Occupation- and Sector-Specific Rights and Notices</w:t>
      </w:r>
    </w:p>
    <w:p>
      <w:pPr>
        <w:pStyle w:val="OABody"/>
        <w:spacing w:before="0" w:after="120" w:line="340" w:lineRule="auto"/>
        <w:ind w:left="720"/>
      </w:pPr>
      <w:r>
        <w:t xml:space="preserve">Iowa has no statewide physician or health-care non-compete ban, but several narrow occupation and sector rules can void or condition a covenant, and this agreement is drafted to yield to whichever applies. First, if Employee is a licensed mental health professional, this agreement does not limit the location at which Employee may practice, does not prohibit Employee from contacting for professional services a person Employee previously treated, and does not impose a time restriction on Employee's practice; any provision to the contrary is void and unenforceable under Iowa Code § 147.161, whether the agreement was entered into prior to, on, or after June 1, 2023. Second, if Employer is a health-care employment agency and Employee is an agency worker, this agreement does not include any noncompete clause restricting Employee's employment opportunities and does not require liquidated damages, employment fees, or other compensation if Employee is later hired as a permanent employee of a health care entity (Iowa Code § 135Q.2). Third, if this agreement is an employment contract between the University of Iowa Hospitals and Clinics and an advanced registered nurse practitioner, licensed practical nurse, pharmacist, physician, physician assistant, or registered nurse, it does not include a noncompete clause, consistent with the policy the Board of Regents is directed to adopt for such contracts entered into, extended, or renewed on or after the effective date of the Act (2026 Iowa Acts, House File 2254, codified at Iowa Code § 262.9(43)). Any covenant that would conflict with one of these rules is deemed excluded to the extent of the conflict.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an Iowa court would narrow under the three-prong reasonableness test — or that an occupation statute voids outright — may expose Employer to a claim, and that it should condition any such notice on a restraint it is prepared to defend on all three prongs.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parties intend that the Restricted Period for that covenant be extended by one day for each day of the breach, so that the full duration of the restriction runs from the date the breach ends. The parties acknowledge that no controlling Iowa appellate authority decides whether a non-compete period tolls during breach or enforcement litigation, and that Iowa's closest doctrine is reformation, which narrows an overbroad covenant rather than adding time back; Iowa's leading application set a fixed period measured from the date employment terminated (Farm Bureau Serv. Co. of Maynard v. Kohls, 203 N.W.2d 209 (Iowa 1972)). Accordingly, any extension under this section is itself part of the restraint's duration and must independently satisfy the three-prong reasonableness test; the parties do not intend an open-ended or indefinite extension and do not assume a court will revive an expired covenant.</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Iowa Uniform Trade Secrets Act, Iowa Code § 550.3, under which the owner of a trade secret may petition the district court to enjoin an actual or threatened misappropriation independent of any covenant, and damages under Iowa Code § 550.4 for actual loss and unjust enrichment caused by misappropriation. Iowa Code § 550.6 permits an award of actual and reasonable attorney fees to the prevailing party where a misappropriation claim is made in bad faith, a motion to terminate an injunction is made or resisted in bad faith, or a person acts willfully and maliciously in the misappropriation. Common-law tort theories involving trade secrets remain available alongside chapter 550 (205 Corp. v. Brandow, 517 N.W.2d 548 (Iowa 1994)).</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Iowa has abandoned the all-or-nothing rule and enforces an overbroad covenant to the extent it is reasonably necessary to protect the employer's legitimate interests without imposing undue hardship on the employee, where the public interest is not adversely affected (Ehlers v. Iowa Warehouse Co., 188 N.W.2d 368 (Iowa 1971)); Iowa courts have applied that rule by narrowing a covenant's activities, territory, and duration to what the worker actually handled (Farm Bureau Serv. Co. of Maynard v. Kohls, 203 N.W.2d 209 (Iowa 1972)). Employer therefore requests partial enforcement if any restraint in this agreement is found to be overbroad. That partial-enforcement rule has a built-in limit the parties respect: it does not apply where the facts indicate bad faith, and no covenant placed in this agreement for reasons other than an attempt to protect Employer's legitimate interests should be enforced in equity (Ehlers, 188 N.W.2d 368). Accordingly, each restrictive covenant in this agreement is drawn as a tiered, severable,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Because an Iowa court enforcing a covenant partially will reshape each restraint to its own reasonable scope, each covenant's survival is stated independently so that a defensible restraint is not bundled with a broader one.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a successor inherits the Iowa reasonableness analysis along with the covenant: reasonable necessity is re-weighed against the enforcing business's actual customer relationships and footprint, so a restraint sized to Employer does not automatically fit a buyer.</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Iowa law governs, the enforceability of each restrictive covenant is determined under the common-law three-prong reasonableness test of Revere Transducers, Inc. v. Deere &amp; Co. and Lamp v. American Prosthetics, Inc. and their progeny, with the employer bearing the burden of proving reasonableness; there is no general Iowa non-compete statute and no statutory safe harbor, so each covenant is drafted to survive the reasonableness analysis rather than to escape it.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note that an extension or renewal can change which Iowa rule governs: the University of Iowa Hospitals and Clinics clinical-role prohibition reaches listed contracts entered into, extended, or renewed on or after the effective date of the Act (2026 Iowa Acts, House File 2254), so any refresh of this agreement should be reviewed against the occupation- and sector-specific rules disclosed above.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(Iowa)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(Iowa)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(Iowa)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