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The execution date is decisive for physician covenants: it selects which statutory layer governs (the July 1, 2020 content requirements, the July 1, 2023 primary care ban, and the July 1, 2025 physician-hospital ban).]</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Indiana</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Employee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Covered Customer Period</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Passive Public Holdings Threshold</w:t>
            </w:r>
          </w:p>
        </w:tc>
        <w:tc>
          <w:tcPr>
            <w:tcW w:w="6480" w:type="dxa"/>
            <w:tcMar>
              <w:top w:w="60" w:type="dxa"/>
              <w:left w:w="0" w:type="dxa"/>
              <w:bottom w:w="60" w:type="dxa"/>
              <w:right w:w="0" w:type="dxa"/>
            </w:tcMar>
          </w:tcPr>
          <w:p>
            <w:r>
              <w:rPr>
                <w:rFonts w:ascii="Arial" w:hAnsi="Arial" w:cs="Arial"/>
                <w:i/>
                <w:iCs/>
                <w:color w:val="494A4B"/>
                <w:sz w:val="21"/>
                <w:szCs w:val="21"/>
              </w:rPr>
              <w:t xml:space="preserve">five percent</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Physician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Release Buyout Price</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and excluding the general skills, knowledge, and experience Employee acquired during employment, which Indiana does not treat as a protectable interest.</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 and who hold Confidential Information or specialized, hard-to-replace value in which Employer has a legitimate protectable interest. This class is deliberately limited to such employees, and not to Employer's workforce at large, because an employee non-solicitation covenant reaching all of the employer's employees is overbroad under Indiana law and the eraser blue pencil cannot rewrite an all-employees class into a narrower one.</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an Indiana covenant may protect under the Central Indiana Podiatry, P.C. v. Krueger reasonableness rule, namely Employer's Confidential Information, Employer's trade secrets as defined by the Indiana Uniform Trade Secrets Act (Ind. Code § 24-2-3-2), Employer's goodwill in its customer, vendor, referral-source, and business-partner relationships, and Employer's established customer relationships, but not Employer's interest in avoiding ordinary competition and not the general skills or routine industry knowledge of Employee.</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or encourage any person or entity for the purpose of diverting business away from Employer, but does not include responding to general advertisements or unsolicited inquiries not initiated by Employee. This is a standalone, severable definition, so that if any part of it were held unreasonable the remainder could be enforced without a court rewriting it.</w:t>
      </w:r>
    </w:p>
    <w:p>
      <w:pPr>
        <w:pStyle w:val="OABody"/>
        <w:numPr>
          <w:ilvl w:val="1"/>
          <w:numId w:val="1"/>
        </w:numPr>
        <w:spacing w:before="0" w:after="120" w:line="340" w:lineRule="auto"/>
      </w:pPr>
      <w:r>
        <w:rPr>
          <w:b/>
          <w:bCs/>
          <w:color w:val="117086"/>
        </w:rPr>
        <w:t xml:space="preserve">“Trade Secrets”</w:t>
      </w:r>
      <w:r>
        <w:t xml:space="preserve"> has the meaning given in the Indiana Uniform Trade Secrets Act, Ind. Code § 24-2-3-2.</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required for that protection. Indiana has no general non-compete statute; covenants not to compete are not favored in the law (Dicen v. New Sesco, Inc., 839 N.E.2d 684 (Ind. 2005)), and Indiana courts construe them strictly against the employer and will not enforce an unreasonable restriction. Under Central Indiana Podiatry, P.C. v. Krueger, 882 N.E.2d 723 (Ind. 2008), the employer must first show that it has a legitimate interest to be protected by the agreement, and the employer also bears the burden of establishing that the agreement is reasonable in scope as to the time, activity, and geographic area restricted. The parties acknowledge that each covenant is meant to guard Employer's Confidential Information, trade secrets, and established customer relationships and goodwill, and not to suppress ordinary competition or to restrain Employee's general skills and routine industry knowledge, which are not protectable. Employer would not provide Employee with access to these Protected Interests absent the protections in this agreement. If this agreement arises ancillary to the sale of a business or of an owner's equity interest, the parties acknowledge that such covenants are enforced on a more liberal, buyer-favoring basis than covenants in an ordinary employment relationship (Zollinger v. Wagner-Meinert Engineering, LLC, 146 N.E.3d 1060 (Ind. Ct. App. 2020)).</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adequate consideration. If Employee is an existing at-will employee, the parties agree that Employee's continued employment can serve as consideration for the covenants in this agreement, including where an at-will employee is told to sign a new non-competition agreement or be terminated (Med-1 Solutions, LLC v. Taylor, No. 24A-PL-450 (Ind. Ct. App. Nov. 25, 2024)); no separate payment, raise, or promotion is required. If this agreement is signed at the outset of employment, the offer and commencement of employment is the consideration. Employee acknowledges having had the opportunity to consult with independent legal counsel before signing this agreement. Employee acknowledges that the restrictions in this agreement are reasonable and necessary to protect Employer's Protected Interests, and understands that adequate consideration establishes only that the covenants are supported, not that they are reasonable — each covenant must independently satisfy the Krueger reasonableness test on time, activity, and geography, on which the employer carries the burden. This agreement is effective as of the Effective Date listed in Cover Terms, which also fixes the execution date that selects the governing physician statutory layer.</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Employee's obligations regarding other Confidential Information continue for the period specified in Cover Terms. Trade secrets are protected under Indiana law, including the Indiana Uniform Trade Secrets Act, Ind. Code § 24-2-3-2, which defines a trade secret as information that derives independent economic value, actual or potential, from not being generally known to, and not being readily ascertainable by proper means by, other persons who can obtain economic value from its disclosure or use, and that is the subject of efforts that are reasonable under the circumstances to maintain its secrecy. This confidentiality obligation is intended to operate alongside, and independent of, any restrictive covenant, and does not restrict Employee's use of the general knowledge, skill, and experience Employee acquired during employment. For a physician whose non-compete is unenforceable or statutorily void, this trade-secret and confidentiality protection is the protection that remains and is not diminished by the fate of any covenant.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 This notice is provided as required by 18 U.S.C. § 1833(b)(3)(A) in a contract governing the use of a trade secret or other confidential information.</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The parties intend that these return, deletion, and certification mechanics serve as part of Employer's efforts reasonable under the circumstances to maintain the secrecy of its trade secrets, as contemplated by Ind. Code § 24-2-3-2, and as contemporaneous evidence supporting the trade-secret and confidentiality claims that survive even where a covenant does not.</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This covenant is analyzed under the Krueger reasonableness rule and reaches only Covered Employees — a class limited to workers in whom Employer holds a legitimate protectable interest — during the Restricted Period. The parties draft it this way because an employee non-solicitation covenant that applies to all of the employer's employees is overbroad (Heraeus Medical, LLC v. Zimmer, Inc., 135 N.E.3d 150 (Ind. 2019)), and because Indiana's eraser blue pencil cannot narrow an all-employees class, the limiting look-back in the Covered Employees definition is drafted as a severable, independently reasonable unit.</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Indiana courts analyze this customer non-solicitation covenant under the Krueger reasonableness rule (Central Indiana Podiatry, P.C. v. Krueger, 882 N.E.2d 723 (Ind. 2008)); it reaches only Covered Customers with whom Employee had material contact or about whom Employee held Confidential Information, and Employer must prove that connection to the legitimate interest that justifies it. This covenant maps directly onto Employer's customer-goodwill interest and, together with the confidentiality and trade-secret protections in this agreement, is often the most defensible restraint in the Indiana family. It is drafted as its own severable unit so that an eraser pass could address it without disturbing the other covenants.</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Because Indiana construes every covenant strictly against the employer, this clause is a deliberate risk decision that needs its own protectable-interest story; it is sized tightly to the goodwill it protects, reaches only Covered Customers with whom Employee had material contact, and is drafted severably from the narrower non-solicitation covenant so that the modest clause survives if the broader one falls.</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within the Restricted Territory, engage in the same activities Employee actually performed for Employer on behalf of a Competitive Business. This covenant restrains only the activity Employee performed for Employer and does not bar Employee from working for a competitor in any capacity, including roles unrelated to any Protected Interest, because an any-capacity activity restraint is unreasonably broad under Indiana law (Med-1 Solutions, LLC v. Taylor, No. 24A-PL-450 (Ind. Ct. App. Nov. 25, 2024)). This covenant exists to protect Employer's Protected Interests — its Confidential Information, trade secrets, and established customer relationships and goodwill — and not to restrain ordinary competition. Consistent with the Krueger reasonableness rule, the parties intend this covenant to be no greater than is required for the protection of Employer, with its activity, time, and territory sized to Employee's actual role and Employer's actual market, and the employer acknowledges it bears the burden of proving each dimension reasonable. If Employer has identified specific competitors in Cover Terms under Specified Competitors, the parties intend this covenant to be understood and, if necessary, enforced as limited to those named competitors, because a named list is strong reasonableness evidence and each discrete list entry is a clearly divisible part the blue pencil can strike individually while leaving a working covenant. The activity restriction, the duration, the territory, and any named-competitor limit are each stated as separate, grammatically severable units so that an eraser pass leaves a working restraint rather than a blank page.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this covenant restrains active roles at and material participation in a Competitive Business, it is a post-employment restraint analyzed under the Krueger reasonableness rule, connects to a Protected Interest rather than to a general wish to keep Employee's capital out of the industry, and is drawn no broader than necessary and as a severable unit.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w:t>
      </w:r>
    </w:p>
    <w:p>
      <w:pPr>
        <w:pStyle w:val="OABody"/>
        <w:keepNext/>
        <w:numPr>
          <w:ilvl w:val="0"/>
          <w:numId w:val="1"/>
        </w:numPr>
        <w:spacing w:before="320" w:after="120" w:line="340" w:lineRule="auto"/>
        <w:jc w:val="left"/>
      </w:pPr>
      <w:r>
        <w:rPr>
          <w:b/>
          <w:bCs/>
        </w:rPr>
        <w:t xml:space="preserve">Physician Covenants and Statutory Requirements</w:t>
      </w:r>
    </w:p>
    <w:p>
      <w:pPr>
        <w:pStyle w:val="OABody"/>
        <w:numPr>
          <w:ilvl w:val="1"/>
          <w:numId w:val="1"/>
        </w:numPr>
        <w:spacing w:before="0" w:after="120" w:line="340" w:lineRule="auto"/>
      </w:pPr>
      <w:r>
        <w:t xml:space="preserve">If Employee is a physician, any covenant restraining Employee from the practice of medicine is governed by Indiana's physician statute stack, which is layered by the execution date in Cover Terms, and the parties intend the covenant to be enforced only as that stack permits.</w:t>
      </w:r>
    </w:p>
    <w:p>
      <w:pPr>
        <w:pStyle w:val="OABody"/>
        <w:numPr>
          <w:ilvl w:val="1"/>
          <w:numId w:val="1"/>
        </w:numPr>
        <w:spacing w:before="0" w:after="120" w:line="340" w:lineRule="auto"/>
      </w:pPr>
      <w:r>
        <w:t xml:space="preserve">First, for a physician noncompete entered on or after July 1, 2020, the covenant is enforceable only if it includes all of the provisions Indiana Code § 25-22.5-5.5-2 requires, including a provision giving the physician, after the physician's employment terminates or the contract expires, the option to purchase a complete and final release from the terms of the covenant at a reasonable price (House Enrolled Act 1004 (2020); buyout provision as amended by Senate Enrolled Act 7 (2023)). The statute does not define a reasonable price, so the parties state the price or price mechanism in Cover Terms under Release Buyout Price rather than leaving the term open. A physician noncompete within the chapter is also unenforceable where Employer terminates the physician's employment without cause (Ind. Code § 25-22.5-5.5-2(b)(1)).</w:t>
      </w:r>
    </w:p>
    <w:p>
      <w:pPr>
        <w:pStyle w:val="OABody"/>
        <w:numPr>
          <w:ilvl w:val="1"/>
          <w:numId w:val="1"/>
        </w:numPr>
        <w:spacing w:before="0" w:after="120" w:line="340" w:lineRule="auto"/>
      </w:pPr>
      <w:r>
        <w:t xml:space="preserve">Second, if Employee is a primary care physician, this agreement does not include and the parties may not enter a noncompete covenant restraining Employee, for any covenant entered on or after July 1, 2023: notwithstanding any other law, a primary care physician and an employer may not enter into a noncompete agreement (Senate Enrolled Act 7 (2023), Ind. Code § 25-22.5-5.5-2.5(b)). The ban is categorical for that class; no buyout provision or reasonableness showing revives it.</w:t>
      </w:r>
    </w:p>
    <w:p>
      <w:pPr>
        <w:pStyle w:val="OABody"/>
        <w:numPr>
          <w:ilvl w:val="1"/>
          <w:numId w:val="1"/>
        </w:numPr>
        <w:spacing w:before="0" w:after="120" w:line="340" w:lineRule="auto"/>
      </w:pPr>
      <w:r>
        <w:t xml:space="preserve">Third, if Employer is a hospital, a parent company of a hospital, an affiliated manager of a hospital, or a hospital system, this agreement does not include and the parties may not enter a noncompete covenant with Employee, for any covenant entered on or after July 1, 2025, and any agreement in violation of that section is void and unenforceable (Senate Enrolled Act 475 (2025), Ind. Code § 25-22.5-5.5-2.3). For such a hospital employer, the statute preserves only trade-secret nondisclosure agreements, a non-solicitation of current employees lasting no more than one year that does not restrict patient interactions, patient referrals, clinical collaboration, or the physician's professional relationships, and covenants tied to the physician's sale of a practice the physician majority-owned.</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a warning letter built on a covenant that later fails the Krueger reasonableness analysis may be raw material for a tortious-interference claim, and that it should keep any permitted disclosure factual and condition it on a restraint Employer is prepared to defend on both the legitimate-interest and the reasonableness burdens.</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so that the full duration of the restriction runs from the date the breach ends. This extension is a separate, severable provision tied to the duration of an actual breach. The parties acknowledge that Indiana law does not squarely endorse automatically tolling or extending a covenant during breach or litigation, that any extension is itself covenant scope the employer must prove reasonable under the Krueger burden, and that because an Indiana court can only erase and not add terms, it will not manufacture restricted time the contract did not clearly and reasonably provide; the parties therefore do not intend an open-ended or indefinite extension.</w:t>
      </w:r>
    </w:p>
    <w:p>
      <w:pPr>
        <w:pStyle w:val="OABody"/>
        <w:keepNext/>
        <w:numPr>
          <w:ilvl w:val="0"/>
          <w:numId w:val="1"/>
        </w:numPr>
        <w:spacing w:before="320" w:after="120" w:line="340" w:lineRule="auto"/>
        <w:jc w:val="left"/>
      </w:pPr>
      <w:r>
        <w:rPr>
          <w:b/>
          <w:bCs/>
        </w:rPr>
        <w:t xml:space="preserve">Liquidated Damages</w:t>
      </w:r>
    </w:p>
    <w:p>
      <w:pPr>
        <w:pStyle w:val="OABody"/>
        <w:spacing w:before="0" w:after="120" w:line="340" w:lineRule="auto"/>
        <w:ind w:left="720"/>
      </w:pPr>
      <w:r>
        <w:t xml:space="preserve">This agreement does not stipulate a fixed sum of liquidated damages for breach of the restrictive covenants. Under Indiana law, a stipulated sum grossly disproportionate to the loss the breach would cause, or one that sweeps in conduct beyond the protected interest, is treated as an unenforceable penalty rather than as liquidated damages, and the Indiana Supreme Court has struck such provisions in full (American Consulting, Inc. v. Hannum Wagle &amp; Cline Engineering, Inc., 136 N.E.3d 208 (Ind. 2019)). If the parties elect to add a liquidated-damages provision, any stipulated sum must be tied to a documented, reasonable estimate of the anticipated loss from the specific breach it prices; it must not be grossly disproportionate to that loss; and, consistent with the eraser rule, it must be drafted as its own severable term so that an unenforceable penalty does not endanger the covenants it accompanies.</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Employer may seek injunctive or other equitable relief in addition to any other remedies available at law, including relief under the Indiana Uniform Trade Secrets Act for actual or threatened misappropriation of a trade secret independent of any covenant. Employer acknowledges the limits of an irreparable-harm recital: an Indiana court will not enforce an unreasonable restriction however emphatic the recital, and the reported pattern is injunctions denied because the employer could not carry the reasonableness burden. Against Indiana's American Rule baseline, a court may award attorney's fees to the prevailing party only where a claim or defense is frivolous, unreasonable, groundless, or litigated in bad faith (Ind. Code § 34-52-1-1(b)); if the parties add a prevailing-party fee provision to contract around that default, they intend it to run to whichever party prevails rather than to Employer alone.</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so that a court's refusal to enforce one covenant does not affect the others. The parties draft each activity restriction, customer class, territory tier, and duration as its own grammatically severable unit precisely so that Indiana's eraser blue pencil — which may strike clearly divisible unreasonable language but may never add, change, or rearrange terms — can excise an offending part while leaving a reasonable, enforceable restriction behind.</w:t>
      </w:r>
    </w:p>
    <w:p>
      <w:pPr>
        <w:pStyle w:val="OABody"/>
        <w:keepNext/>
        <w:numPr>
          <w:ilvl w:val="0"/>
          <w:numId w:val="1"/>
        </w:numPr>
        <w:spacing w:before="320" w:after="120" w:line="340" w:lineRule="auto"/>
        <w:jc w:val="left"/>
      </w:pPr>
      <w:r>
        <w:rPr>
          <w:b/>
          <w:bCs/>
        </w:rPr>
        <w:t xml:space="preserve">No Reliance on Judicial Reformation</w:t>
      </w:r>
    </w:p>
    <w:p>
      <w:pPr>
        <w:pStyle w:val="OABody"/>
        <w:spacing w:before="0" w:after="120" w:line="340" w:lineRule="auto"/>
        <w:ind w:left="720"/>
      </w:pPr>
      <w:r>
        <w:t xml:space="preserve">The parties do not rely on any reformation, modification, or savings clause to cure an overbroad covenant, and they intend each restraint to be enforceable as written rather than in reliance on judicial revision. Under Indiana's blue-pencil doctrine, a court may excise clearly divisible unreasonable language, but the doctrine does not allow a court to rewrite a noncompetition agreement by adding, changing, or rearranging terms, and courts cannot add terms to an unenforceable restrictive covenant even where the agreement contains language purporting to give a court the power to do so (Heraeus Medical, LLC v. Zimmer, Inc., 135 N.E.3d 150 (Ind. 2019)). Erasure is available only where the covenant is clearly divisible into parts and a reasonable restriction remains after the unreasonable portions are eliminated; an indivisible, overbroad restriction written as an interconnected whole cannot be saved and is unenforceable in its entirety (Clark's Sales and Service, Inc. v. Smith, 4 N.E.3d 772 (Ind. Ct. App. 2014)). Accordingly, each restrictive covenant is drawn from the start as a tiered, severable, independently reasonable restraint sized to the Protected Interests.</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with each covenant's clock stated separately so it is independently checkable. Obligations under the Confidential Information and Trade Secret Protection section survive indefinitely to the extent they relate to trade secrets. All other provisions survive to the extent necessary to enforce rights that arose during employment. Keeping each covenant's duration apart is itself severability insurance, because covenants whose durations stand alone are easier to defend as clearly divisible parts than a single bundled survival term.</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acknowledge that whoever enforces these covenants inherits the Indiana posture along with them: the protectable interest must be one the successor can actually claim as its own, and the reasonableness burden travels with the covenant rather than being settled by the assignment.</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Where Indiana law governs, the enforceability of each restrictive covenant is determined under the common-law reasonableness rule of Central Indiana Podiatry, P.C. v. Krueger and its progeny; there is no general Indiana non-compete statute and no statutory safe harbor, so each covenant is drafted to survive the holistic reasonableness analysis rather than to escape it. Disputes will be resolved in the courts of the Governing Law state, subject to non-waivable rights under applicable law. Indiana generally honors governing-law and venue selections, with one hard statutory exception: in a contract for the improvement of real estate in Indiana, a provision making the contract subject to the laws of another state, or requiring litigation, arbitration, or other dispute resolution on the contract to occur in another state, is void (Ind. Code § 32-28-3-17). The parties intend that the governing-law and venue choices match where Employee actually lives and works.</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A party's failure to enforce any provision does not waive that party's right to enforce it later. This agreement may be executed in counterparts, including by electronic signature, each of which is an original. The parties acknowledge one Indiana-specific consequence: because continued employment alone can support a replacement covenant signed mid-employment, a routine amendment can re-paper the restraint, and for a physician a new execution date can move the agreement into a stricter statutory layer than the one it left; the parties therefore intend that any amendment state which covenant survives.</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(Indiana)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(Indiana)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(Indiana)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