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Illinois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Employer's legitimate business interests, judged on the totality of the facts and circumstances under 820 ILCS 90/7 and 90/15, in its Confidential Information and trade secrets, its near-permanent relationships with customers, patients, and referral sources, its workforce stability, and its goodwill.</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encourage, or provide Confidential Information to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has the meaning given in the Illinois Trade Secrets Act, 765 ILCS 1065/2(d).</w:t>
      </w:r>
    </w:p>
    <w:p>
      <w:pPr>
        <w:pStyle w:val="OABody"/>
        <w:keepNext/>
        <w:numPr>
          <w:ilvl w:val="0"/>
          <w:numId w:val="1"/>
        </w:numPr>
        <w:spacing w:before="320" w:after="120" w:line="340" w:lineRule="auto"/>
        <w:jc w:val="left"/>
      </w:pPr>
      <w:r>
        <w:rPr>
          <w:b/>
          <w:bCs/>
        </w:rPr>
        <w:t xml:space="preserve">Recitals and Legitimate Business Interests</w:t>
      </w:r>
    </w:p>
    <w:p>
      <w:pPr>
        <w:pStyle w:val="OABody"/>
        <w:spacing w:before="0" w:after="120" w:line="340" w:lineRule="auto"/>
        <w:ind w:left="720"/>
      </w:pPr>
      <w:r>
        <w:t xml:space="preserve">Employer and Employee acknowledge that each restrictive covenant in this agreement is ancillary to a valid employment relationship and is supported by, and no greater than required to protect, one or more legitimate business interests of Employer, as required by 820 ILCS 90/15. Consistent with 820 ILCS 90/7 and Reliable Fire Equipment Co. v. Arredondo, 2011 IL 111871, whether a legitimate business interest exists is determined by the totality of the facts and circumstances, including Employee's exposure to Employer's customer, patient, and referral relationships and their near-permanence, Employee's acquisition of Confidential Information and trade secrets through employment, and the time, place, and scope of the restraint, with no single factor being decisive. Employer would not provide Employee with access to these Protected Interests absent the protections in this agreement, and each covenant is intended to impose no undue hardship on Employee and to cause no injury to the public.</w:t>
      </w:r>
    </w:p>
    <w:p>
      <w:pPr>
        <w:pStyle w:val="OABody"/>
        <w:keepNext/>
        <w:numPr>
          <w:ilvl w:val="0"/>
          <w:numId w:val="1"/>
        </w:numPr>
        <w:spacing w:before="320" w:after="120" w:line="340" w:lineRule="auto"/>
        <w:jc w:val="left"/>
      </w:pPr>
      <w:r>
        <w:rPr>
          <w:b/>
          <w:bCs/>
        </w:rPr>
        <w:t xml:space="preserve">Timing, Consideration, and Right to Consult Counsel</w:t>
      </w:r>
    </w:p>
    <w:p>
      <w:pPr>
        <w:pStyle w:val="OABody"/>
        <w:spacing w:before="0" w:after="120" w:line="340" w:lineRule="auto"/>
        <w:ind w:left="720"/>
      </w:pPr>
      <w:r>
        <w:t xml:space="preserve">Employer has advised Employee, in writing, to consult with an attorney before entering into this agreement, and has either provided Employee with a copy of this agreement at least 14 calendar days before the commencement of Employee's employment or given Employee at least 14 calendar days to review it before signing, as required by the Illinois Freedom to Work Act, 820 ILCS 90/20. Employee may choose to sign before the 14-day period expires, but Employer has extended the full period. The parties agree that this agreement is supported by adequate consideration within the meaning of 820 ILCS 90/5 — either at least two years of employment after Employee signs this agreement, or </w:t>
      </w:r>
      <w:r>
        <w:rPr>
          <w:b w:val="0"/>
          <w:bCs w:val="0"/>
        </w:rPr>
        <w:t xml:space="preserve">the compensation, access to Confidential Information, and other benefits Employer provides to Employee under this agreement, which the parties agree are given in exchange for the restrictive covenants</w:t>
      </w:r>
      <w:r>
        <w:t xml:space="preserve"> — and, consistent with Midwest Lending Corp. v. Horton, 2023 IL App (3d) 220132, that any professional or financial benefit relied on as consideration is given specifically in exchange for the restrictive covenants in this agreement. Employee acknowledges that the restrictions in this agreement are reasonable and necessary to protect Employer's Protected Interests.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Employee's obligations regarding other Confidential Information continue for the period specified in Cover Terms. Trade secrets are protected under Illinois law, including the Illinois Trade Secrets Act, 765 ILCS 1065/1 et seq.</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This covenant applies only if Employee's actual or expected annualized rate of earnings exceeds $45,000, as required by 820 ILCS 90/10(b).</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This covenant applies only if Employee's actual or expected annualized rate of earnings exceeds $45,000, as required by 820 ILCS 90/10(b), and it protects Employer's legitimate business interest in its substantial, near-permanent relationships with specific customers, patients, referral sources, and business partners under 820 ILCS 90/7.</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This covenant applies only if Employee's actual or expected annualized rate of earnings exceeds $45,000, as required by 820 ILCS 90/10(b), and it protects Employer's legitimate business interest in its substantial, near-permanent customer, patient, and referral relationships under 820 ILCS 90/7.</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applies only if Employee's actual or expected annualized rate of earnings exceeds $75,000, as required by 820 ILCS 90/10(a), and it is no broader in time, place, or scope than required to protect Employer's legitimate business interests under 820 ILCS 90/15.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Because this covenant restrains active roles at and material participation in a Competitive Business, it functions as a covenant not to compete under the Illinois Freedom to Work Act; it therefore applies only if Employee's actual or expected annualized rate of earnings exceeds $75,000 (820 ILCS 90/10(a)), is subject to the same protected-worker exclusions and layoff-compensation condition as the non-compete in this agreement, and is drawn no broader than necessary to protect Employer's legitimate business interests under 820 ILCS 90/15.</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w:t>
      </w:r>
    </w:p>
    <w:p>
      <w:pPr>
        <w:pStyle w:val="OABody"/>
        <w:keepNext/>
        <w:numPr>
          <w:ilvl w:val="0"/>
          <w:numId w:val="1"/>
        </w:numPr>
        <w:spacing w:before="320" w:after="120" w:line="340" w:lineRule="auto"/>
        <w:jc w:val="left"/>
      </w:pPr>
      <w:r>
        <w:rPr>
          <w:b/>
          <w:bCs/>
        </w:rPr>
        <w:t xml:space="preserve">Workers Exempt from the Illinois Covenant Restrictions</w:t>
      </w:r>
    </w:p>
    <w:p>
      <w:pPr>
        <w:pStyle w:val="OABody"/>
        <w:numPr>
          <w:ilvl w:val="1"/>
          <w:numId w:val="1"/>
        </w:numPr>
        <w:spacing w:before="0" w:after="120" w:line="340" w:lineRule="auto"/>
      </w:pPr>
      <w:r>
        <w:t xml:space="preserve">Notwithstanding any other provision of this agreement, the covenant not to compete and the covenant not to solicit do not apply to, and are void and unenforceable against, Employee to the extent Illinois law so provides, including: an Employee working in construction, as to both covenant types (820 ILCS 90/10(e)), unless Employee primarily performs management, engineering or architectural, design, or sales functions or is an owner; an Employee covered by a collective bargaining agreement under the Illinois Public Labor Relations Act or the Illinois Educational Labor Relations Act, as to the covenant not to compete (820 ILCS 90/10(d)); a nurse or certified nurse aide placed by a nurse agency on a temporary basis (225 ILCS 510/14(g)); an Employee in the broadcasting industry, as to post-employment geographic and time restraints (820 ILCS 17/10); and, for a covenant entered into on or after January 1, 2025, a licensed mental-health professional providing services to veterans or first responders where enforcement would likely increase the cost or difficulty of obtaining those services (820 ILCS 90/10(f)). These exclusions apply regardless of Employee's earnings, the consideration provided, the notice given, or the reasonableness of the restraint.</w:t>
      </w:r>
    </w:p>
    <w:p>
      <w:pPr>
        <w:pStyle w:val="OABody"/>
        <w:numPr>
          <w:ilvl w:val="1"/>
          <w:numId w:val="1"/>
        </w:numPr>
        <w:spacing w:before="0" w:after="120" w:line="340" w:lineRule="auto"/>
      </w:pPr>
      <w:r>
        <w:t xml:space="preserve">If Employee is terminated, furloughed, or laid off as the result of business circumstances or governmental orders related to the COVID-19 pandemic or under circumstances similar to it, the covenant not to compete and the covenant not to solicit are enforceable only if Employer pays Employee, for the period of enforcement, compensation equivalent to Employee's base salary at the time of termination, reduced by any compensation Employee earns through subsequent employment during that period (820 ILCS 90/10(c)).</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Restricted Period for that covenant is extended by one day for each day of the breach, so that the full duration of the restriction runs from the date the breach ends.</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Under 820 ILCS 90/25, if Employer files a civil action or arbitration, including by counterclaim, to enforce a covenant not to compete or a covenant not to solicit and Employee prevails, Employee recovers all costs and all reasonable attorney's fees from Employer. Employer's imposition or enforcement of restrictive covenants against workers who are exempt or below the applicable earnings threshold may also expose Employer to investigation and civil penalties by the Illinois Attorney General under 820 ILCS 90/30.</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w:t>
      </w:r>
    </w:p>
    <w:p>
      <w:pPr>
        <w:pStyle w:val="OABody"/>
        <w:keepNext/>
        <w:numPr>
          <w:ilvl w:val="0"/>
          <w:numId w:val="1"/>
        </w:numPr>
        <w:spacing w:before="320" w:after="120" w:line="340" w:lineRule="auto"/>
        <w:jc w:val="left"/>
      </w:pPr>
      <w:r>
        <w:rPr>
          <w:b/>
          <w:bCs/>
        </w:rPr>
        <w:t xml:space="preserve">Reformation</w:t>
      </w:r>
    </w:p>
    <w:p>
      <w:pPr>
        <w:pStyle w:val="OABody"/>
        <w:spacing w:before="0" w:after="120" w:line="340" w:lineRule="auto"/>
        <w:ind w:left="720"/>
      </w:pPr>
      <w:r>
        <w:t xml:space="preserve">The parties acknowledge that, under 820 ILCS 90/35, a court may, but is not required to, reform or sever an overbroad covenant rather than declare it void, and that one factor the court weighs is whether the agreement authorized such modification; Employer therefore requests reformation if any restraint in this agreement is found to be overbroad. Because 820 ILCS 90/35 warns that extensive judicial reformation may be against the public policy of Illinois and because Illinois courts decline to rewrite patently overbroad covenants (AssuredPartners, Inc. v. Schmitt, 2015 IL App (1st) 141863), each restrictive covenant in this agreement is drawn no broader than necessary and is intended to be enforceable as written rather than in reliance on judicial revision.</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including the Illinois Freedom to Work Act, 820 ILCS 90, for covenants entered into on or after January 1, 2022. Disputes will be resolved in the courts of the Governing Law state, subject to non-waivable rights under applicable law.</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(Illinois)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(Illinois)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(Illinois)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