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Idaho</w:t>
            </w:r>
          </w:p>
        </w:tc>
      </w:tr>
      <w:tr>
        <w:tc>
          <w:tcPr>
            <w:tcW w:w="3600" w:type="dxa"/>
            <w:tcMar>
              <w:top w:w="60" w:type="dxa"/>
              <w:left w:w="0" w:type="dxa"/>
              <w:bottom w:w="60" w:type="dxa"/>
              <w:right w:w="0" w:type="dxa"/>
            </w:tcMar>
          </w:tcPr>
          <w:p>
            <w:r>
              <w:rPr>
                <w:rFonts w:ascii="Arial" w:hAnsi="Arial" w:cs="Arial"/>
                <w:b/>
                <w:bCs/>
                <w:color w:val="1D2021"/>
                <w:sz w:val="22"/>
                <w:szCs w:val="22"/>
              </w:rPr>
              <w:t xml:space="preserve">Healthcare Provider</w:t>
            </w:r>
          </w:p>
        </w:tc>
        <w:tc>
          <w:tcPr>
            <w:tcW w:w="6480" w:type="dxa"/>
            <w:tcMar>
              <w:top w:w="60" w:type="dxa"/>
              <w:left w:w="0" w:type="dxa"/>
              <w:bottom w:w="60" w:type="dxa"/>
              <w:right w:w="0" w:type="dxa"/>
            </w:tcMar>
          </w:tcPr>
          <w:p>
            <w:r>
              <w:rPr>
                <w:rFonts w:ascii="Arial" w:hAnsi="Arial" w:cs="Arial"/>
                <w:color w:val="1D2021"/>
                <w:sz w:val="22"/>
                <w:szCs w:val="22"/>
              </w:rPr>
              <w:t xml:space="preserve">false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areas in which Employee provided services or had a significant presence or influence for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 ideally limited to the type of employment or line of business the worker actually conducted for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Consideration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Consideration for Restrictive Covenants</w:t>
            </w:r>
          </w:p>
        </w:tc>
        <w:tc>
          <w:tcPr>
            <w:tcW w:w="6480" w:type="dxa"/>
            <w:tcMar>
              <w:top w:w="60" w:type="dxa"/>
              <w:left w:w="0" w:type="dxa"/>
              <w:bottom w:w="60" w:type="dxa"/>
              <w:right w:w="0" w:type="dxa"/>
            </w:tcMar>
          </w:tcPr>
          <w:p>
            <w:r>
              <w:rPr>
                <w:rFonts w:ascii="Arial" w:hAnsi="Arial" w:cs="Arial"/>
                <w:i/>
                <w:iCs/>
                <w:color w:val="494A4B"/>
                <w:sz w:val="21"/>
                <w:szCs w:val="21"/>
              </w:rPr>
              <w:t xml:space="preserve">Employee's employment or continued employment with Employer, which the parties agree is sufficient consideration for a direct-competition restriction of eighteen months or less; if any direct-competition restriction runs longer than eighteen months, the additional consideration described in this agreement</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 limited so far as possible to the type of employment or line of business Employee actually conducted for Employer.</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within the meaning of Idaho Code sections 44-2701 and 44-2702, including Employer's goodwill, technologies, intellectual property, business plans, business processes and methods of operation, customers, customer lists, customer contacts and referral sources, vendors and vendor contacts, financial and marketing information, and trade secrets as defined by chapter 8, title 48, Idaho Code.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an overt act initiated by Employee that entreats, implores, pleads, or petitions a person or entity for the business or relationship at issue, and seeks something in return. Solicit does not include the mere acceptance of business, ordinary communication between Employee and another person, responding to general advertisements, or responding to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Idaho Trade Secrets Act, Idaho Code section 48-801.</w:t>
      </w:r>
    </w:p>
    <w:p>
      <w:pPr>
        <w:pStyle w:val="OABody"/>
        <w:keepNext/>
        <w:numPr>
          <w:ilvl w:val="0"/>
          <w:numId w:val="1"/>
        </w:numPr>
        <w:spacing w:before="320" w:after="120" w:line="340" w:lineRule="auto"/>
        <w:jc w:val="left"/>
      </w:pPr>
      <w:r>
        <w:rPr>
          <w:b/>
          <w:bCs/>
        </w:rPr>
        <w:t xml:space="preserve">Recitals, Key-Worker Status, and Legitimate Business Interests</w:t>
      </w:r>
    </w:p>
    <w:p>
      <w:pPr>
        <w:pStyle w:val="OABody"/>
        <w:spacing w:before="0" w:after="120" w:line="340" w:lineRule="auto"/>
        <w:ind w:left="720"/>
      </w:pPr>
      <w:r>
        <w:t xml:space="preserve">Employer and Employee acknowledge that each restrictive covenant in this agreement is entered to protect one or more of Employer's Protected Interests and is intended to be no greater a restraint than is reasonably necessary to protect those interests, as Idaho Code section 44-2701 requires. Employer and Employee further acknowledge that any covenant not to compete in this agreement is enforceable under Idaho Code section 44-2701 only against a key employee or key independent contractor, and that under Idaho Code section 44-2702(1) a key employee or key independent contractor is one who, by reason of Employer's investment of time, money, trust, exposure to the public, or exposure to technologies, intellectual property, business plans, business processes and methods of operation, customers, vendors, or other business relationships, has gained a high level of inside knowledge, influence, credibility, notoriety, fame, reputation, or public persona as a representative or spokesperson of Employer and, as a result, has the ability to harm or threaten Employer's legitimate business interests. Employee acknowledges that Employee occupies that key role. Under Idaho Code section 44-2704(5), a worker among Employer's highest-paid five percent is rebuttably presumed to be key. Idaho Code section 44-2701 also reaches key independent contractors, so this acknowledgement applies whether Employee is engaged as an employee or as an independent contractor.</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Employer has advised Employee that Employee may consult with an attorney before entering into this agreement. Idaho does not impose a statutory notice or review-period ritual for restrictive covenants, but Idaho courts construe employment covenants strictly against the employer, so Employee confirms having entered this agreement knowingly. The parties agree that the restrictive covenants in this agreement are supported by </w:t>
      </w:r>
      <w:r>
        <w:rPr>
          <w:b w:val="0"/>
          <w:bCs w:val="0"/>
        </w:rPr>
        <w:t xml:space="preserve">Employee's employment or continued employment with Employer, which the parties agree is sufficient consideration for a direct-competition restriction of eighteen months or less; if any direct-competition restriction runs longer than eighteen months, the additional consideration described in this agreement</w:t>
      </w:r>
      <w:r>
        <w:t xml:space="preserve">. The parties acknowledge that, under Idaho Code section 44-2704(1), a post-employment restriction of direct competition may not exceed eighteen months from termination unless consideration in addition to employment or continued employment is given to Employee, and that continued employment alone is sufficient consideration for a direct-competition restriction of eighteen months or less. Employee acknowledges that the restrictions in this agreement are reasonable and necessary to protect Employer's Protected Interests.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Trade Secrets Duration in Cover Terms, which is intended to last as long as the information remains a trade secret. Employee's obligations regarding other Confidential Information continue for the Other Confidential Information Duration in Cover Terms. These confidentiality and trade-secret obligations stand independent of the restrictive covenants in this agreement and survive on their own footing: nothing in Idaho Code chapter 44-27 limits Employer's ability to otherwise protect trade secrets or other proprietary or confidential information, and the Idaho Trade Secrets Act, Idaho Code section 48-801 et seq., protects information that derives independent economic value from not being generally known and is the subject of reasonable efforts to maintain its secrecy.</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the National Labor Relations Act and other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A contemporaneous, signed certification also supports Employer's trade-secret protections by evidencing what Employee returned and Employer's reasonable efforts to maintain secrecy.</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No Idaho statute or appellate decision addresses covenants not to solicit a former employer's employees, so this covenant is drawn narrowly — limited to Covered Employees and to affirmative recruiting conduct — rather than as a workforce-wide hiring ban.</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Consistent with Insure Idaho, LLC v. Horn, this covenant restrains only affirmative solicitation — an overt act by Employee seeking the Covered Customer's business — and does not restrain Employee's mere acceptance of business a Covered Customer initiates or ordinary communication between Employee and a Covered Customer. This covenant protects Employer's legitimate business interest in its relationships with specific customers, customer contacts, referral sources, vendors, and business partners under Idaho Code section 44-2702.</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when the Covered Customer approaches Employee — precisely the conduct the Supreme Court of Idaho held in Insure Idaho, LLC v. Horn is not solicitation. Idaho has not resolved whether such a no-dealing restraint enforces as written, is analyzed as a direct-competition restriction under Idaho Code chapter 44-27 (key-worker gate and eighteen-month cap included), or fails; this covenant is therefore off by default and, if included, is intended to be enforced only to the extent Idaho law permits.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employment or a line of business that is in direct competition with Employer's business, within the Restricted Territory, by engaging in, being employed by, consulting for, or having an active ownership interest in any Competitive Business. If any Specified Competitors are listed in Cover Terms, this restriction is limited to those Specified Competitors. This covenant is enforceable under Idaho Code section 44-2701 only against a key employee or key independent contractor and only to the extent it protects Employer's Protected Interests and is reasonable as to duration, geographic area, and type of employment or line of business, imposing no greater restraint than reasonably necessary. The Restricted Territory is drawn to the areas where Employee provided services or had a significant presence or influence, and the Competitive Business is drawn to the type of employment or line of business Employee conducted for Employer, so that the covenant qualifies for the Idaho Code section 44-2704(3) and (4) reasonableness presumptions. The Non-Competition Duration is intended to be eighteen months or less to qualify for the Idaho Code section 44-2704(2) duration presumption; any longer term is supported only by the additional consideration recited in this agreement, as Idaho Code section 44-2704(1) requires.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an Idaho court may treat it as a covenant not to compete under Idaho Code chapter 44-27; it therefore applies only to a key employee or key independent contractor, is limited to the restraint reasonably necessary to protect Employer's Protected Interests, and shares the eighteen-month planning cap and duration presumption that govern the non-compete in this agreement.</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protected concerted activity under the National Labor Relations Act.</w:t>
      </w:r>
    </w:p>
    <w:p>
      <w:pPr>
        <w:pStyle w:val="OABody"/>
        <w:keepNext/>
        <w:numPr>
          <w:ilvl w:val="0"/>
          <w:numId w:val="1"/>
        </w:numPr>
        <w:spacing w:before="320" w:after="120" w:line="340" w:lineRule="auto"/>
        <w:jc w:val="left"/>
      </w:pPr>
      <w:r>
        <w:rPr>
          <w:b/>
          <w:bCs/>
        </w:rPr>
        <w:t xml:space="preserve">Healthcare Provider and Patient Access</w:t>
      </w:r>
    </w:p>
    <w:p>
      <w:pPr>
        <w:pStyle w:val="OABody"/>
        <w:spacing w:before="0" w:after="120" w:line="340" w:lineRule="auto"/>
        <w:ind w:left="720"/>
      </w:pPr>
      <w:r>
        <w:t xml:space="preserve">Where Employee is a healthcare provider, the parties acknowledge that Idaho does not treat a provider covenant like an ordinary commercial restraint: Employer's interest in the patients Employee served is limited by those patients' interests in continuity of care and in access to the health care provider of their choice, and a covenant that is otherwise reasonable can still be denied injunctive enforcement where enforcement would seriously impair the welfare of the public in the affected community. On Employee's departure, the parties will cooperate in good faith on patient notification, continuity of care, and the orderly handling of patient relationships and records consistent with applicable law and professional obligations. Nothing in this section enlarges any restraint beyond what Idaho Code sections 44-2701 through 44-2704 permit.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Because Idaho enforces reasonable covenants against key workers, Employee must promptly disclose to Employer any live restraint from a prior engagement and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warning built on a covenant that fails the key-worker gate or overshoots the eighteen-month cap may expose Employer to a tortious-interference claim, and undertakes to make any such disclosure only as to a covenant Employer has vetted against the Idaho statutory gates.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Idaho has not by statute or appellate decision blessed tolling of a restrictive covenant, and that an extension pushing the effective direct-competition restraint past eighteen months may lose the Idaho Code section 44-2704(2) duration presumption and trigger the section 44-2704(1) requirement of consideration beyond employment; this section is intended to operate only to the extent Idaho law permits.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subject to the court's weighing of the public interest before enjoining Employee. Independent of any covenant, the Idaho Trade Secrets Act authorizes an injunction against actual or threatened misappropriation of a trade secret under Idaho Code section 48-802. Unless the agreement otherwise provides, each party bears its own attorney fees and costs under the American Rule; any fee-shifting the parties adopt is intended to be mutual and prevailing-party based.</w:t>
      </w:r>
    </w:p>
    <w:p>
      <w:pPr>
        <w:pStyle w:val="OABody"/>
        <w:keepNext/>
        <w:numPr>
          <w:ilvl w:val="0"/>
          <w:numId w:val="1"/>
        </w:numPr>
        <w:spacing w:before="320" w:after="120" w:line="340" w:lineRule="auto"/>
        <w:jc w:val="left"/>
      </w:pPr>
      <w:r>
        <w:rPr>
          <w:b/>
          <w:bCs/>
        </w:rPr>
        <w:t xml:space="preserve">Reformation and Severability</w:t>
      </w:r>
    </w:p>
    <w:p>
      <w:pPr>
        <w:pStyle w:val="OABody"/>
        <w:spacing w:before="0" w:after="120" w:line="340" w:lineRule="auto"/>
        <w:ind w:left="720"/>
      </w:pPr>
      <w:r>
        <w:t xml:space="preserve">The parties acknowledge that, under Idaho Code section 44-2703, if any restrictive covenant in this agreement is found unreasonable in any respect, a court shall limit or modify the covenant as necessary to reflect the parties' intent and render it reasonable, and shall specifically enforce the covenant as limited or modified. This modification duty is statutory and does not depend on any savings clause; the parties nonetheless request that any overbroad restraint be limited or modified and enforced rather than voided. The parties intend each restrictive covenant to give the court complete, severable terms — duration, geography, work scope, and the Protected Interest each covenant serves — that a court can narrow simply and accurately, because Idaho courts blue-pencil only when it can be done simply and accurately and will not substantially rewrite the contract. If any provision of this agreement is found unenforceable and cannot be so modified, the remaining provisions remain in full force and effect, and each restrictive covenant is intended to be independently enforceable.</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so that each duration remains independently checkable. Obligations under the Confidential Information and Trade Secret Protection section survive to the extent they relate to trade secrets, for as long as the information remains a trade secret. All other provisions survive to the extent necessary to enforce rights that arose during employment. The eighteen-month limit attaches to the direct-competition restraint specifically, and no bundled survival term is intended to extend that restraint beyond what Idaho Code section 44-2704 permits.</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The parties acknowledge that the key-worker analysis turns on what this Employer invested in this Employee, so a successor enforcing an assigned covenant inherits the same threshold showing.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of the Governing Law state listed in Cover Terms. For an Idaho worker, the parties acknowledge that Idaho Code section 29-110(1) makes void, as against Idaho public policy, every stipulation that restricts a party from enforcing contract rights in Idaho tribunals, and the Supreme Court of Idaho has treated that policy as strong enough to invalidate forum-selection clauses; the section's arbitration carve-out does not protect out-of-state arbitration. Accordingly, nothing in this agreement requires Employee to litigate or arbitrate outside Idaho or otherwise restricts Employee from enforcing contract rights in Idaho tribunals, and any such stipulation is void. Disputes will be resolved in the courts of the State of Idaho,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except that it does not supersede any separate confidentiality, invention-assignment, or trade-secret agreement the parties intend to keep in force. This agreement may be amended only in writing signed by both parties; an amendment that would extend the direct-competition restriction past eighteen months requires consideration in addition to continued employment.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(Idaho)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(Idaho)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(Idaho)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