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Delaware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economic interests a Delaware covenant may protect under the Court of Chancery's reasonableness review, namely Employer's goodwill in its customer, vendor, referral-source, and business-partner relationships, Employer's Confidential Information, and Employer's trade secrets as defined by the Delaware Uniform Trade Secrets Act (6 Del. C. § 2001(4)),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Delaware Uniform Trade Secrets Act, 6 Del. C. § 2001(4).</w:t>
      </w:r>
    </w:p>
    <w:p>
      <w:pPr>
        <w:pStyle w:val="OABody"/>
        <w:keepNext/>
        <w:numPr>
          <w:ilvl w:val="0"/>
          <w:numId w:val="1"/>
        </w:numPr>
        <w:spacing w:before="320" w:after="120" w:line="340" w:lineRule="auto"/>
        <w:jc w:val="left"/>
      </w:pPr>
      <w:r>
        <w:rPr>
          <w:b/>
          <w:bCs/>
        </w:rPr>
        <w:t xml:space="preserve">Recitals and Legitimate Interests</w:t>
      </w:r>
    </w:p>
    <w:p>
      <w:pPr>
        <w:pStyle w:val="OABody"/>
        <w:spacing w:before="0" w:after="120" w:line="340" w:lineRule="auto"/>
        <w:ind w:left="720"/>
      </w:pPr>
      <w:r>
        <w:t xml:space="preserve">Employer and Employee acknowledge that each restrictive covenant in this agreement is intended to advance one or more of Employer's Protected Interests and to impose no restraint broader than is reasonable to serve that interest. Delaware has no general non-compete statute; enforceability is governed by the Court of Chancery's reasonableness review, under which a post-employment covenant is enforceable only if it is reasonable in geographic scope and temporal duration, advances a legitimate economic interest of the party seeking its enforcement, and survives a balancing of the equities (FP UC Holdings, LLC v. Hamilton, 2020 WL 1492783 (Del. Ch. Mar. 27, 2020)). That review is holistic and in context: the court evaluates every dimension of a covenant and how it operates together with the other restrictions in this agreement (Sunder Energy, LLC v. Jackson, 305 A.3d 723 (Del. Ch. 2023), aff'd in relevant part, 332 A.3d 472 (Del. 2024)). The legitimate interests Delaware law recognizes are Employer's goodwill and Employer's confidential information, and the parties intend each covenant to be tied to the goodwill or information this Employee actually touched rather than to ordinary competition (Payscale Inc. v. Norman, No. 297, 2025 (Del. Mar. 19, 2026)). Employer would not provide Employee with access to these Protected Interests absent the protections in this agreement.</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consideration given to Employee at the time of signing, and they record the specific value exchanged rather than reciting bare adequacy. If Employee is an existing at-will employee, the parties agree that, in exchange for Employee's assent to the covenants in this agreement, Employer continues an at-will employment relationship that it could otherwise legally have terminated, which Delaware treats as sufficient consideration for a restrictive covenant where signing is a condition of keeping the position (Research &amp; Trading Corp. v. Powell, 468 A.2d 1301 (Del. Ch. 1983)); where the parties intend additional value — a payment, raise, promotion, or equity grant — that value is identified in the record of this signing. If this agreement is signed at the outset of employment, the offer and commencement of employment is the consideration. The parties acknowledge that Delaware measures consideration at the time of contract formation and does not reevaluate it at the time of enforcement, so a later forfeiture or change in benefits does not unwind the consideration that supported this agreement when it was made (North American Fire Ultimate Holdings, LP v. Doorly, No. 142, 2025 (Del. Feb. 3, 2026)). Employee acknowledges having had the opportunity to consult with independent legal counsel before signing. Employee acknowledges that adequate consideration establishes only that the covenants are supported, not that they are reasonable — each covenant must independently satisfy the Court of Chancery's reasonableness review, and the court may weigh the breadth of a restraint against the consideration that supports it in balancing the equities (Payscale Inc. v. Norman, No. 297, 2025 (Del. Mar. 19, 2026)).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Delaware law, including the Delaware Uniform Trade Secrets Act, 6 Del. C. §§ 2001–2007, which defines a trade secret by its independent economic value from not being generally known and by efforts that are reasonable under the circumstances to maintain its secrecy (6 Del. C. § 2001(4)). This confidentiality obligation is intended to operate alongside, and independent of, any restrictive covenant, and does not restrict Employee's use of the general knowledge, skill, and experience Employee acquired during employment. A confidentiality definition drawn so broadly that it operates as an indefinite non-compete would itself invite the reasonableness review that a properly bounded confidentiality clause is meant to avoid, so this obligation is scoped to genuinely confidential information.</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that are reasonable under the circumstances to maintain the secrecy of its trade secrets, as contemplated by 6 Del. C. § 2001(4).</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As the lightest restraint in this agreement, this covenant is nonetheless not reviewed in isolation: the Court of Chancery weighs how each restriction operates together with the others, so this covenant reaches only Covered Employees during the Restricted Period and is no broader than reasonable to protect Employer's workforce stability and goodwill.</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Delaware credits a restraint tied to specific, identified customer relationships — protecting the contracts with an employer's most valued customers is a business-specific interest that can carry a covenant — so this covenant reaches only Covered Customers with whom Employee had material contact and is no broader than reasonable to protect Employer's goodwill in those relationships (Payscale Inc. v. Norman, No. 297, 2025 (Del. Mar. 19, 2026)). Together with the confidentiality and trade-secret protections in this agreement, this covenant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Because that extra breadth is a dimension the Court of Chancery weighs together with the rest of the covenant package, this restriction is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advance Employer's Protected Interests — its goodwill and its Confidential Information — and not to restrain ordinary competition. Consistent with the Court of Chancery's reasonableness review, the parties intend this covenant to be reasonable in geographic scope and temporal duration, to advance a legitimate economic interest, and to survive a balancing of the equities, with its time and territory sized to Employee's actual role and Employer's actual market. If Employer has identified specific competitors in Cover Terms under Specified Competitors, the parties intend this covenant to be understood and enforced as limited to those named competitors, because a restraint bound to identified competitors is stronger evidence that it is no broader than reasonable. The parties intend this covenant to be enforceable as written; because Delaware courts increasingly decline to blue-pencil an overbroad covenant, the enforceable scope is drawn into this covenant at the outset rather than left to later judicial revision.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reviewed under the Court of Chancery's reasonableness standard and is drawn no broader than reasonable to advance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this agreement does not restrict, and shall not be read or enforced to restrict, Employee's right to practice medicine in a particular locale or for a defined period of time after termination of this agreement. Under 6 Del. C. § 2707, any covenant-not-to-compete provision of an employment, partnership, or corporate agreement between and/or among physicians that restricts a physician's right to practice medicine in a particular locale and/or for a defined period after termination of the principal agreement is void; any such provision is severed and given no effect. The statute is targeted rather than total: all other provisions of this agreement remain enforceable at law, including provisions requiring the payment of damages in an amount reasonably related to the injury suffered by reason of termination, and such damages provisions may include damages related to competition. Accordingly, any damages provision applicable to a physician is kept separate from any practice restraint, is void as to practice restriction, and is tied to actual injury reasonably related to termination. This provision is a statutory rule specific to physicians; the home-inspector-trainee rule below and the general reasonableness review apply to their own subjects.</w:t>
      </w:r>
    </w:p>
    <w:p>
      <w:pPr>
        <w:pStyle w:val="OABody"/>
        <w:keepNext/>
        <w:numPr>
          <w:ilvl w:val="0"/>
          <w:numId w:val="1"/>
        </w:numPr>
        <w:spacing w:before="320" w:after="120" w:line="340" w:lineRule="auto"/>
        <w:jc w:val="left"/>
      </w:pPr>
      <w:r>
        <w:rPr>
          <w:b/>
          <w:bCs/>
        </w:rPr>
        <w:t xml:space="preserve">Home Inspector Trainee Carve-Out</w:t>
      </w:r>
    </w:p>
    <w:p>
      <w:pPr>
        <w:pStyle w:val="OABody"/>
        <w:spacing w:before="0" w:after="120" w:line="340" w:lineRule="auto"/>
        <w:ind w:left="720"/>
      </w:pPr>
      <w:r>
        <w:t xml:space="preserve">If Employee is registered as a home inspector trainee, this agreement does not require, and shall not be read or enforced to require, Employee to execute a covenant not to compete with a supervising licensed home inspector, or to pay any fee, charge, or other thing of value to a supervising licensed home inspector, as a condition of satisfying the home inspector trainee requirements. Under 24 Del. C. § 4109(d), any such requirement is prohibited, and any non-competition covenant in this agreement is void and of no effect as applied to Employee in that trainee capacity with respect to a supervising licensed home inspector. This is a narrow licensing rule specific to home inspector trainees and does not alter the covenants as applied to any other worker.</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including any restrictive covenant or forfeiture-for-competition condition from a prior employer or equity arrangement.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asserting a covenant the Court of Chancery would refuse to enforce — and refuse to narrow — may overstate Employer's position and create its own interference exposure, and that it should condition any such notice on a restraint it is prepared to defend under the reasonableness review.</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no surveyed Delaware statute or decision blesses or rejects tolling of a restricted period during a breach, and that any such extension is itself added duration — a dimension of the covenant that the Court of Chancery evaluates together with everything else in the contract under its holistic reasonableness review. The parties therefore do not intend an open-ended or indefinite extension, and any extension remains subject to the reasonableness review; Employer does not assume that a Delaware court will extend a restraint that has already expired.</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Delaware Uniform Trade Secrets Act, 6 Del. C. § 2002, under which actual or threatened misappropriation of a trade secret may be enjoined independent of any covenant. The parties acknowledge that the availability of any such relief presupposes a covenant that first survives the Court of Chancery's reasonableness review and the balancing of the equities. Under 6 Del. C. § 2004, a court may award reasonable attorney's fees to the prevailing party where a claim of misappropriation is made in bad faith, a motion to terminate an injunction is made or resisted in bad faith, or wilful and malicious misappropriation exists, independent of any contractual fee clause; any contractual fee provision should be checked for mutuality rather than treated as the only path to fees.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does not affect the others — self-contained survival and severability are what let a sound non-solicit outlive a failed non-compete, which matters in a jurisdiction whose courts increasingly decline to repair the failed clause.</w:t>
      </w:r>
    </w:p>
    <w:p>
      <w:pPr>
        <w:pStyle w:val="OABody"/>
        <w:keepNext/>
        <w:numPr>
          <w:ilvl w:val="0"/>
          <w:numId w:val="1"/>
        </w:numPr>
        <w:spacing w:before="320" w:after="120" w:line="340" w:lineRule="auto"/>
        <w:jc w:val="left"/>
      </w:pPr>
      <w:r>
        <w:rPr>
          <w:b/>
          <w:bCs/>
        </w:rPr>
        <w:t xml:space="preserve">Enforceable Scope Drawn at the Outset</w:t>
      </w:r>
    </w:p>
    <w:p>
      <w:pPr>
        <w:pStyle w:val="OABody"/>
        <w:spacing w:before="0" w:after="120" w:line="340" w:lineRule="auto"/>
        <w:ind w:left="720"/>
      </w:pPr>
      <w:r>
        <w:t xml:space="preserve">Delaware courts retain equitable discretion to narrow an overbroad covenant, but the parties do not rely on judicial blue-penciling or on any savings clause to cure overreach, because recent decisions increasingly refuse to rewrite an overbroad covenant and instead let it fail: partial enforcement of an overbroad covenant has been called inequitable (Kodiak Building Partners, LLC v. Adams, 2022 WL 5240507 (Del. Ch. Oct. 6, 2022)), a worldwide non-compete was left to fail rather than be revised to rescue a sophisticated party from its overreach (Intertek Testing Services NA, Inc. v. Eastman, 2023 WL 2544236 (Del. Ch. Mar. 16, 2023)), and the Delaware Supreme Court affirmed a refusal to blue-pencil and warned that enforcing unreasonable covenants against flagrant breachers would create perverse incentives for employers drafting restrictive covenants (Sunder Energy, LLC v. Jackson, 332 A.3d 472 (Del. 2024)). Accordingly, the actual enforceable scope of each restraint — the Protected Interests served, the restricted activities, the customer set, the territory, and the duration — is drawn into this agreement at the outset, and each covenant is intended to be enforceable as written rather than in reliance on judicial revision. Nothing in this section requests a Delaware court to reform an overbroad restraint, and the parties intend any restraint broader than reasonable to be treated as already lost rather than saved.</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reads on its own definite schedule.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whoever inherits a covenant inherits its posture with it — the same reasonableness review, the same equities, and the same reluctance to narrow — so a successor whose business does not correspond to the goodwill and Confidential Information the covenant was written to protect may find the covenant harder to enforce in its hands.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Delaware law governs, the enforceability of each restrictive covenant is determined under the Court of Chancery's common-law reasonableness review and its progeny; there is no general Delaware non-compete statute and no statutory safe harbor, so each covenant is drafted to survive the holistic reasonableness analysis rather than to escape it. A written Delaware choice-of-law selection in a qualifying contract is, by statute, conclusively presumed to bear a significant, material, and reasonable relationship with Delaware and enforceable whether or not other relationships exist, except that the statute does not apply to a contract involving less than $100,000 (6 Del. C. § 2708). The parties do not treat that selection as a universal workaround for another state's non-compete restrictions: Delaware's own courts have declined to let Delaware's freedom-of-contract interest always or routinely trump the default state's fundamental policy, and have applied another state's law notwithstanding a Delaware clause where that state had the materially greater interest (Ascension Insurance Holdings, LLC v. Underwood, 2015 WL 356002 (Del. Ch. Jan. 28, 2015); FP UC Holdings, LLC v. Hamilton, 2020 WL 1492783 (Del. Ch. Mar. 27, 2020)). Disputes will be resolved in the courts of the Governing Law state, subject to non-waivable rights under applicable law. Before relying on the Delaware selection against a worker whose residence and work center on another state, the parties intend that the default state, its fundamental policy, and which state has the materially greater interest be analyzed.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because Delaware fixes the consideration question at the moment each instrument is formed, an amendment that re-papers a covenant is its own formation event, and the parties intend to record what value moved at each signing.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(Delaware)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(Delaware)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(Delaware)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