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The execution date does heavy lifting for clinician covenants: the statutory caps reach covenants entered into, amended, extended, or renewed on or after July 1, 2016 for physicians (Conn. Gen. Stat. § 20-14p(b)(2)) and October 1, 2023 for physician assistants and APRNs (§§ 20-12k(b)(2), 20-101d(b)(2)).]</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Connecticut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the employer actually does business and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arises from Employee's general knowledge, skill, or experience,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whom Employee actually serviced or solicited,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Connecticut covenant may protect under the five-factor Scott v. General Iron &amp; Welding reasonableness test, namely Employer's Confidential Information, Employer's Trade Secrets, Employer's customer lists, and Employer's goodwill in its customer, vendor, referral-source, and business-partner relationships,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Connecticut Uniform Trade Secrets Act, Conn. Gen. Stat. § 35-51(d) — information that derives independent economic value, actual or potential, from not being generally known to, and not being readily ascertainable by proper means by, other persons who can obtain economic value from its disclosure or use, and that is the subject of efforts that are reasonable under the circumstances to maintain its secrecy — and under the federal Defend Trade Secrets Act, 18 U.S.C. § 1839(3).</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Connecticut has no general non-compete statute; enforceability is governed by the common-law five-factor test of </w:t>
      </w:r>
      <w:r>
        <w:rPr>
          <w:i/>
          <w:iCs/>
        </w:rPr>
        <w:t xml:space="preserve">Scott v. General Iron &amp; Welding Co.</w:t>
      </w:r>
      <w:r>
        <w:t xml:space="preserve">, 171 Conn. 132 (1976), under which a post-employment restraint is valid only if it is partial and restricted in its operation as to time or place, affords only fair protection to the employer's interest, does not interfere with the public interest, is not unduly harsh on the employee, and does not preclude the employee from pursuing their occupation and supporting themselves and their family. The parties acknowledge that each covenant is meant to guard Employer's Confidential Information, Trade Secrets, customer lists, and customer goodwill and not to eliminate ordinary competition, and that Employer would not provide Employee with access to these Protected Interests absent the protections in this agreement. Each covenant is intended to be reasonable on all five factors, with the factors balanced as a whole so that a broader geographic scope needs a shorter period and a longer period needs a narrower scope.</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This agreement is effective as of the Effective Date listed in Cover Terms. The parties acknowledge that this agreement is supported by adequate consideration. If Employee is an existing employee signing after employment has begun, the parties agree that Employee's signing this agreement is a condition of Employee's continued employment with Employer, that Employer is providing that continued employment in exchange for Employee's assent to the covenants, and that Employee is in fact receiving the continued employment this recital describes; consistent with </w:t>
      </w:r>
      <w:r>
        <w:rPr>
          <w:i/>
          <w:iCs/>
        </w:rPr>
        <w:t xml:space="preserve">Dur-A-Flex, Inc. v. Dy</w:t>
      </w:r>
      <w:r>
        <w:t xml:space="preserve">, 349 Conn. 513 (2024) and </w:t>
      </w:r>
      <w:r>
        <w:rPr>
          <w:i/>
          <w:iCs/>
        </w:rPr>
        <w:t xml:space="preserve">Schimenti Construction Co., LLC v. Schimenti</w:t>
      </w:r>
      <w:r>
        <w:t xml:space="preserve">, 217 Conn. App. 224 (2023), continued at-will employment can be sufficient consideration for a post-hire restrictive covenant when it is connected to the covenant, and the parties intend this recital to establish that connection. If this agreement is signed at the outset of employment, the offer and commencement of employment is the consideration. Employee acknowledges having had the opportunity to consult with independent legal counsel before signing this agreement. Employee acknowledges that adequate consideration establishes only that the covenants are supported, not that they are reasonable — each covenant must independently satisfy the </w:t>
      </w:r>
      <w:r>
        <w:rPr>
          <w:i/>
          <w:iCs/>
        </w:rPr>
        <w:t xml:space="preserve">Scott</w:t>
      </w:r>
      <w:r>
        <w:t xml:space="preserve"> five-factor reasonableness test on time, place, fair protection, hardship, and the public interest.</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consistent with how the Connecticut Uniform Trade Secrets Act, Conn. Gen. Stat. § 35-51(d), and the federal Defend Trade Secrets Act, 18 U.S.C. § 1839(3), key protection to continued secrecy. Employee's obligations regarding other Confidential Information continue for the period specified in Cover Terms under Other Confidential Information Duration, reflecting that Connecticut protects confidential information for a reasonable period of time rather than forever (</w:t>
      </w:r>
      <w:r>
        <w:rPr>
          <w:i/>
          <w:iCs/>
        </w:rPr>
        <w:t xml:space="preserve">Scott v. Gen. Iron &amp; Welding Co.</w:t>
      </w:r>
      <w:r>
        <w:t xml:space="preserve">, 171 Conn. 132 (1976)).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disclosing information required by law, court order, or a government investigation, with notice to Employer where lawful;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 Employer provides this notice in satisfaction of 18 U.S.C. § 1833(b)(3).</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and position Employer to enjoin actual or threatened misappropriation under Conn. Gen. Stat. § 35-52(a).</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No Connecticut occupation statute addresses employee non-solicits, so this covenant is analyzed under the </w:t>
      </w:r>
      <w:r>
        <w:rPr>
          <w:i/>
          <w:iCs/>
        </w:rPr>
        <w:t xml:space="preserve">Scott</w:t>
      </w:r>
      <w:r>
        <w:t xml:space="preserve"> five-factor reasonableness test; it reaches only Covered Employees during the Restricted Period, no broader than necessary to protect Employer's workforce stability and goodwill, and is drawn as a relationship-based class rather than a workforce-wide hiring fence.</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Connecticut courts analyze this customer non-solicitation covenant under the </w:t>
      </w:r>
      <w:r>
        <w:rPr>
          <w:i/>
          <w:iCs/>
        </w:rPr>
        <w:t xml:space="preserve">Scott</w:t>
      </w:r>
      <w:r>
        <w:t xml:space="preserve"> five-factor reasonableness test and have enforced exactly this shape — a restraint limited to customers the worker serviced or solicited for the employer — since </w:t>
      </w:r>
      <w:r>
        <w:rPr>
          <w:i/>
          <w:iCs/>
        </w:rPr>
        <w:t xml:space="preserve">Roessler v. Burwell</w:t>
      </w:r>
      <w:r>
        <w:t xml:space="preserve">, 119 Conn. 289 (1934). It reaches only Covered Customers and is no broader than necessary to protect Employer's goodwill in its customer relationships. This covenant maps directly onto Employer's customer-goodwill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because it presses on both the employee-livelihood and public-interest factors of the </w:t>
      </w:r>
      <w:r>
        <w:rPr>
          <w:i/>
          <w:iCs/>
        </w:rPr>
        <w:t xml:space="preserve">Scott</w:t>
      </w:r>
      <w:r>
        <w:t xml:space="preserve"> test at the same time — the customer loses their chosen provider too — it is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customer lists, and customer goodwill — and not to restrain ordinary competition. Consistent with the </w:t>
      </w:r>
      <w:r>
        <w:rPr>
          <w:i/>
          <w:iCs/>
        </w:rPr>
        <w:t xml:space="preserve">Scott v. General Iron &amp; Welding</w:t>
      </w:r>
      <w:r>
        <w:t xml:space="preserve"> five-factor reasonableness test, the parties intend this covenant to be partial and restricted as to time and place, to afford only fair protection to Employer, to impose no undue hardship on Employee, not to interfere with the public interest, and not to preclude Employee from pursuing their occupation, with its time and territory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self-proving evidence that it affords only fair protection and leaves Employee free to take the rest of the industry's work. Passive Public Holdings are permitted. This covenant is subject to, and does not override, the occupation-specific rules stated below in the Occupation-Specific Limits section.</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is a post-employment restraint analyzed under the </w:t>
      </w:r>
      <w:r>
        <w:rPr>
          <w:i/>
          <w:iCs/>
        </w:rPr>
        <w:t xml:space="preserve">Scott</w:t>
      </w:r>
      <w:r>
        <w:t xml:space="preserve"> five-factor reasonableness test and is drawn no broader than necessary to protect Employer's Protected Interests.</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Occupation-Specific Limits (Physicians, Physician Assistants, APRNs, Security Guards, Broadcast Employees, Home-Care Workers)</w:t>
      </w:r>
    </w:p>
    <w:p>
      <w:pPr>
        <w:pStyle w:val="OABody"/>
        <w:spacing w:before="0" w:after="120" w:line="340" w:lineRule="auto"/>
        <w:ind w:left="720"/>
      </w:pPr>
      <w:r>
        <w:t xml:space="preserve">Connecticut caps or bars restrictive covenants for certain workers before any five-factor balancing begins, and those rules control over any other provision of this agreement:</w:t>
      </w:r>
    </w:p>
    <w:p>
      <w:pPr>
        <w:pStyle w:val="OABody"/>
        <w:numPr>
          <w:ilvl w:val="2"/>
          <w:numId w:val="1"/>
        </w:numPr>
        <w:spacing w:after="80"/>
      </w:pPr>
      <w:r>
        <w:rPr>
          <w:b/>
          <w:bCs/>
        </w:rPr>
        <w:t xml:space="preserve">Physicians.</w:t>
      </w:r>
      <w:r>
        <w:t xml:space="preserve"> For a covenant entered into, amended, extended, or renewed on or after July 1, 2016, any non-compete restraining a physician must not restrict the physician's competitive activities for more than one year or in a geographic region of more than fifteen miles from the primary site where the physician practices (Conn. Gen. Stat. § 20-14p(b)(2)). The covenant is valid only if it is necessary to protect a legitimate business interest, reasonably limited in time, geographic scope, and practice restrictions, and otherwise consistent with law and public policy (§ 20-14p(b)(1)), and it is unenforceable where the contract was not made in anticipation of or as part of a partnership or ownership agreement and expires without a bona fide offer to renew on the same or similar terms, or where the employer terminates the relationship other than for cause. For a covenant touched on or after October 1, 2023, the covenant also fails where the physician did not agree to a proposed material change to the compensation terms before extension or renewal and the contract then expired unrenewed or was terminated by the employer without cause (§ 20-14p(b)(3)). If any physician covenant is rendered void in whole or in part, the remaining provisions of this agreement survive by statute (§ 20-14p(c)).</w:t>
      </w:r>
    </w:p>
    <w:p>
      <w:pPr>
        <w:pStyle w:val="OABody"/>
        <w:numPr>
          <w:ilvl w:val="2"/>
          <w:numId w:val="1"/>
        </w:numPr>
        <w:spacing w:after="80"/>
      </w:pPr>
      <w:r>
        <w:rPr>
          <w:b/>
          <w:bCs/>
        </w:rPr>
        <w:t xml:space="preserve">Physician assistants and advanced practice registered nurses.</w:t>
      </w:r>
      <w:r>
        <w:t xml:space="preserve"> For a covenant entered into, amended, extended, or renewed on or after October 1, 2023, any non-compete restraining a physician assistant or an advanced practice registered nurse must not restrict the worker's competitive activities for more than one year or in a geographic region of more than fifteen miles from the primary site where the worker practices (Conn. Gen. Stat. §§ 20-12k(b)(2), 20-101d(b)(2)), and carries the same non-renewal and termination-without-cause escape hatches as the physician statute.</w:t>
      </w:r>
    </w:p>
    <w:p>
      <w:pPr>
        <w:pStyle w:val="OABody"/>
        <w:numPr>
          <w:ilvl w:val="2"/>
          <w:numId w:val="1"/>
        </w:numPr>
        <w:spacing w:after="80"/>
      </w:pPr>
      <w:r>
        <w:rPr>
          <w:b/>
          <w:bCs/>
        </w:rPr>
        <w:t xml:space="preserve">Security guards.</w:t>
      </w:r>
      <w:r>
        <w:t xml:space="preserve"> This agreement does not require Employee, if employed in classification 339032 of the federal standard occupational classification system (security guards), to refrain from engaging in the same or a similar job, at the same location at which Employer employs Employee, for another employer or as a self-employed person, unless Employer proves that Employee obtained trade secrets of Employer as defined in Conn. Gen. Stat. § 35-51(d) (§ 31-50a(a)). A recital of access to confidential material does not carry that burden.</w:t>
      </w:r>
    </w:p>
    <w:p>
      <w:pPr>
        <w:pStyle w:val="OABody"/>
        <w:numPr>
          <w:ilvl w:val="2"/>
          <w:numId w:val="1"/>
        </w:numPr>
        <w:spacing w:after="80"/>
      </w:pPr>
      <w:r>
        <w:rPr>
          <w:b/>
          <w:bCs/>
        </w:rPr>
        <w:t xml:space="preserve">Broadcast employees.</w:t>
      </w:r>
      <w:r>
        <w:t xml:space="preserve"> If Employer is a broadcast industry employer and Employee is a broadcast employee, this agreement does not require Employee to refrain from obtaining employment in a specified geographical area for a specified period after termination, to disclose the terms, conditions, or existence of an offer from another broadcast industry employer after the contract term, or to enter into, extend, or renew a contract with Employer on the terms a prospective employer offered (Conn. Gen. Stat. § 31-50b(b)).</w:t>
      </w:r>
    </w:p>
    <w:p>
      <w:pPr>
        <w:pStyle w:val="OABody"/>
        <w:numPr>
          <w:ilvl w:val="2"/>
          <w:numId w:val="1"/>
        </w:numPr>
        <w:spacing w:after="80"/>
      </w:pPr>
      <w:r>
        <w:rPr>
          <w:b/>
          <w:bCs/>
        </w:rPr>
        <w:t xml:space="preserve">Homemaker, companion, and home-health workers.</w:t>
      </w:r>
      <w:r>
        <w:t xml:space="preserve"> No covenant not to compete in this agreement applies to a worker covered by Connecticut's homemaker, companion, and home-health services statute; any such covenant is against public policy and void and unenforceable (Conn. Gen. Stat. § 20-681), and no no-hire clause between a homemaker-companion agency and a client is enforceable (§ 20-683(b)). There is no compensation, consideration, or trade-secret cure for either device.</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so that any incoming covenant can be assessed under Connecticut's reasonableness test and the relevant occupation statute at the outset rather than after a demand letter arrives.</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under Connecticut law and Employer has a reasonable belief that Employee may breach that covenant. Employer acknowledges that warning a new employer off a covenant that a Connecticut court would balance away under the </w:t>
      </w:r>
      <w:r>
        <w:rPr>
          <w:i/>
          <w:iCs/>
        </w:rPr>
        <w:t xml:space="preserve">Scott</w:t>
      </w:r>
      <w:r>
        <w:t xml:space="preserve"> test, or that an occupation statute caps or voids, invites a tortious-interference dispute, and that it should condition any such notice on a restraint it is prepared to defend.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parties intend the Restricted Period for that covenant to be extended by the period of the breach, so that Employer receives the full duration of the restriction it bargained for. The parties acknowledge, however, that Connecticut authority does not clearly endorse extending a restrictive covenant beyond its stated term: no staged Connecticut statute or appellate decision authorizes automatic judicial tolling, and a request for injunctive relief was treated as moot once the stated covenant period had run (</w:t>
      </w:r>
      <w:r>
        <w:rPr>
          <w:i/>
          <w:iCs/>
        </w:rPr>
        <w:t xml:space="preserve">Van Dyck Printing Co. v. DiNicola</w:t>
      </w:r>
      <w:r>
        <w:t xml:space="preserve">, 43 Conn. Supp. 191 (1993)). Any such extension is itself a separate, breach-tied restraint that must remain reasonable and bounded under the </w:t>
      </w:r>
      <w:r>
        <w:rPr>
          <w:i/>
          <w:iCs/>
        </w:rPr>
        <w:t xml:space="preserve">Scott</w:t>
      </w:r>
      <w:r>
        <w:t xml:space="preserve"> five-factor test; the parties do not intend an open-ended or indefinite extension, and do not assume a court will revive a covenant after its stated period has expired.</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Connecticut Uniform Trade Secrets Act, Conn. Gen. Stat. § 35-52(a), under which actual or threatened misappropriation of a trade secret may be enjoined independent of any covenant. Any fee-shifting between the parties is mutual and prevailing-party based; the parties otherwise leave the American Rule in place, because a one-way employer fee clause adds to the harshness side of the ledger when a Connecticut court weighs how heavily the whole package lands on Employee.</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drawn in separable tiers — customer-specific alternatives beneath broader restraints, and distinct duration and geography steps — so that a court's refusal to enforce one covenant does not affect the others and a court has cleaner text to enforce or strike.</w:t>
      </w:r>
    </w:p>
    <w:p>
      <w:pPr>
        <w:pStyle w:val="OABody"/>
        <w:keepNext/>
        <w:numPr>
          <w:ilvl w:val="0"/>
          <w:numId w:val="1"/>
        </w:numPr>
        <w:spacing w:before="320" w:after="120" w:line="340" w:lineRule="auto"/>
        <w:jc w:val="left"/>
      </w:pPr>
      <w:r>
        <w:rPr>
          <w:b/>
          <w:bCs/>
        </w:rPr>
        <w:t xml:space="preserve">No Reliance on Judicial Narrowing</w:t>
      </w:r>
    </w:p>
    <w:p>
      <w:pPr>
        <w:pStyle w:val="OABody"/>
        <w:spacing w:before="0" w:after="120" w:line="340" w:lineRule="auto"/>
        <w:ind w:left="720"/>
      </w:pPr>
      <w:r>
        <w:t xml:space="preserve">Connecticut gives the drafter no reliable rule that a court will rewrite an overbroad covenant into an enforceable one, and whether a Connecticut court will narrow an overbroad employee covenant remains unsettled. Internally inconsistent restraint language can be construed against the drafter where no reasonable reconciliation is possible (</w:t>
      </w:r>
      <w:r>
        <w:rPr>
          <w:i/>
          <w:iCs/>
        </w:rPr>
        <w:t xml:space="preserve">Thoma v. Oxford Performance Materials, Inc.</w:t>
      </w:r>
      <w:r>
        <w:t xml:space="preserve">, 153 Conn. App. 50 (2014)), and the one statutory severance rule in this area is deliberately narrow — when a physician covenant is void in whole or in part, Conn. Gen. Stat. § 20-14p(c) preserves only the contract's remaining non-covenant provisions, not a narrowed restraint. Accordingly, this agreement does not rely on any savings or reformation clause to cure overbreadth and does not purport to obligate a court to supply a new radius, duration, or job-function limit of its own. Each restrictive covenant is instead drawn as a separable, tiered, reasonable restraint sized to the Protected Interests from the start and is intended to be enforceable as written rather than in reliance on discretionary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each covenant's survival is checkable on its own footing so that a defensible customer non-solicit is not bundled with a shakier market-wide restraint. Obligations under the Confidential Information and Trade Secret Protection section survive as long as the relevant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a successor inherits the Connecticut reasonableness analysis along with the covenant, so that the five-factor test is re-weighed against the enforcing business's actual footprint and interests and a restraint sized to the original employer does not automatically fit the buyer.</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Connecticut law governs, the enforceability of each restrictive covenant is determined under the common-law five-factor test of </w:t>
      </w:r>
      <w:r>
        <w:rPr>
          <w:i/>
          <w:iCs/>
        </w:rPr>
        <w:t xml:space="preserve">Scott v. General Iron &amp; Welding</w:t>
      </w:r>
      <w:r>
        <w:t xml:space="preserve"> and its progeny and under Connecticut's occupation-specific statutes; there is no general Connecticut non-compete statute and no statutory safe harbor, so each covenant is drafted to survive the holistic reasonableness analysis rather than to escape it. Disputes will be resolved in the courts of the Governing Law state, subject to non-waivable rights under applicable law. The parties intend that the governing-law and venue choices match where Employee actually lives and works, because a foreign-law clause papering a Connecticut clinician, guard, or home-care worker signals a form that was never localized and tees up a choice-of-law fight on top of the merits.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the clinician statutes reach covenants entered into, amended, extended, or renewed on or after their trigger dates (Conn. Gen. Stat. §§ 20-14p, 20-12k, 20-101d), so a routine amendment or renewal can pull an older physician, physician assistant, or APRN covenant into the one-year and fifteen-mile regime.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(Connecticut)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(Connecticut)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(Connecticut)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