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Colorado the execution date selects which year's earnings threshold the covenant is tested against, since the controlling figure is the greater of the August 10, 2022 amount or the amount in effect when the parties sign (C.R.S. § 8-2-113(2)(c)(II)).]</w:t>
            </w:r>
          </w:p>
        </w:tc>
      </w:tr>
      <w:tr>
        <w:tc>
          <w:tcPr>
            <w:tcW w:w="3600" w:type="dxa"/>
            <w:tcMar>
              <w:top w:w="60" w:type="dxa"/>
              <w:left w:w="0" w:type="dxa"/>
              <w:bottom w:w="60" w:type="dxa"/>
              <w:right w:w="0" w:type="dxa"/>
            </w:tcMar>
          </w:tcPr>
          <w:p>
            <w:r>
              <w:rPr>
                <w:rFonts w:ascii="Arial" w:hAnsi="Arial" w:cs="Arial"/>
                <w:b/>
                <w:bCs/>
                <w:color w:val="1D2021"/>
                <w:sz w:val="22"/>
                <w:szCs w:val="22"/>
              </w:rPr>
              <w:t xml:space="preserve">Advance Notice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the employer delivered the separate, signed advance-notice document required by C.R.S. § 8-2-113(4). For a prospective worker the notice must precede acceptance of the offer; for a current worker it must be delivered at least 14 days before the earlier of the covenant's effective date or the effective date of the consideration for the covenant.]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Colorado</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Colorado Statutory Gates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Highly Compensated Worker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$130,014</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Customer Non-Solicit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$78,008.40</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the protected trade secrets would be exploited</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training, knowledge, skill, or experience whether gained on the job or otherwise, information that is readily ascertainable to the public,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interest in protecting its trade secrets. Under C.R.S. § 8-2-113(2)(b) and (2)(d), the non-compete and customer non-solicitation exceptions run exclusively through the protection of trade secrets, so those covenants are supported only by, and are drawn no broader than reasonably necessary to protect, Employer's Trade Secrets.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applicable Colorado and federal law, including information that derives independent economic value from not being generally known to, and not being readily ascertainable through proper means by, another person who can obtain economic value from its disclosure or use (see the federal Defend Trade Secrets Act, 18 U.S.C. § 1839(3)).</w:t>
      </w:r>
    </w:p>
    <w:p>
      <w:pPr>
        <w:pStyle w:val="OABody"/>
        <w:keepNext/>
        <w:numPr>
          <w:ilvl w:val="0"/>
          <w:numId w:val="1"/>
        </w:numPr>
        <w:spacing w:before="320" w:after="120" w:line="340" w:lineRule="auto"/>
        <w:jc w:val="left"/>
      </w:pPr>
      <w:r>
        <w:rPr>
          <w:b/>
          <w:bCs/>
        </w:rPr>
        <w:t xml:space="preserve">Recitals and Trade-Secret Interest</w:t>
      </w:r>
    </w:p>
    <w:p>
      <w:pPr>
        <w:pStyle w:val="OABody"/>
        <w:spacing w:before="0" w:after="120" w:line="340" w:lineRule="auto"/>
        <w:ind w:left="720"/>
      </w:pPr>
      <w:r>
        <w:t xml:space="preserve">Employer and Employee acknowledge that each restrictive covenant in this agreement is ancillary to a valid employment relationship. Employee will receive access to Employer's Trade Secrets in the course of employment, and any non-compete and customer non-solicitation covenant in this agreement is included solely for the protection of those Trade Secrets and is drawn no broader than reasonably necessary to protect Employer's legitimate interest in protecting them, as required by C.R.S. § 8-2-113(2)(b) and (2)(d). Employer would not provide Employee with access to its Trade Secrets absent the protections in this agreement. The parties intend each covenant to be enforceable as written and drawn within the scope Colorado law permits at the outset, rather than in reliance on any judicial narrowing.</w:t>
      </w:r>
    </w:p>
    <w:p>
      <w:pPr>
        <w:pStyle w:val="OABody"/>
        <w:keepNext/>
        <w:numPr>
          <w:ilvl w:val="0"/>
          <w:numId w:val="1"/>
        </w:numPr>
        <w:spacing w:before="320" w:after="120" w:line="340" w:lineRule="auto"/>
        <w:jc w:val="left"/>
      </w:pPr>
      <w:r>
        <w:rPr>
          <w:b/>
          <w:bCs/>
        </w:rPr>
        <w:t xml:space="preserve">Timing, Consideration, and Advance Notice</w:t>
      </w:r>
    </w:p>
    <w:p>
      <w:pPr>
        <w:pStyle w:val="OABody"/>
        <w:numPr>
          <w:ilvl w:val="1"/>
          <w:numId w:val="1"/>
        </w:numPr>
        <w:spacing w:before="0" w:after="120" w:line="340" w:lineRule="auto"/>
      </w:pPr>
      <w:r>
        <w:t xml:space="preserve">This agreement is effective as of the Effective Date listed in Cover Terms. Employer and Employee acknowledge that continued at-will employment is adequate consideration for the restrictive covenants in this agreement, consistent with Lucht's Concrete Pumping, Inc. v. Horner, 255 P.3d 1058 (Colo. 2011).</w:t>
      </w:r>
    </w:p>
    <w:p>
      <w:pPr>
        <w:pStyle w:val="OABody"/>
        <w:numPr>
          <w:ilvl w:val="1"/>
          <w:numId w:val="1"/>
        </w:numPr>
        <w:spacing w:before="0" w:after="120" w:line="340" w:lineRule="auto"/>
      </w:pPr>
      <w:r>
        <w:t xml:space="preserve">For any non-compete or customer non-solicitation covenant in this agreement, Employer has provided Employee the advance notice required by C.R.S. § 8-2-113(4) in a separate signed document dated as shown in Cover Terms under Advance Notice Date. That notice is a standalone writing, separate from this agreement and any other covenant, in clear and conspicuous terms in the language in which Employer and Employee communicate about Employee's performance, identifying this agreement by name and directing Employee to the covenant's terms, and signed by Employee. Employer delivered the notice before Employee accepted the offer of employment or, for a current worker, at least fourteen days before the earlier of (a) the effective date of the covenant or (b) the effective date of any additional compensation or change in the terms or conditions of employment that provides consideration for the covenant. Employee may consult an attorney before entering into this agreement, and the advance-notice period affords time to do so.</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Employee's obligations regarding other Confidential Information continue for the period specified in Cover Terms under Other Confidential Information Duration. Consistent with C.R.S. § 8-2-113(3)(b), this section is a reasonable confidentiality provision relevant to Employer's business and does not prohibit Employee from disclosing information that arises from Employee's general training, knowledge, skill, or experience, whether gained on the job or otherwise, information that is readily ascertainable to the public, or information that Employee otherwise has a right to disclose as legally protected conduct.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disclosing information that arises from Employee's general training, knowledge, skill, or experience, information readily ascertainable to the public, or information Employee otherwise has a right to disclose as legally protected conduct, as preserved by C.R.S. § 8-2-113(3)(b);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Consistent with Phoenix Capital, Inc. v. Dowell, 176 P.3d 835 (Colo. App. 2007), this covenant is drawn as a restraint limited to active solicitation that does not impair Employee's own ability to make a living.</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Under C.R.S. § 8-2-113(2)(d), this covenant applies, and is enforceable, only if Employee earns annualized cash compensation equivalent to or greater than the Customer Non-Solicit Threshold listed in Cover Terms — which is sixty percent of the highly compensated worker threshold — both at the time this agreement is entered into and at the time the covenant is enforced. This covenant is included solely for the protection of Employer's Trade Secrets and is no broader than reasonably necessary to protect that interest.</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Colorado's baseline rule voids covenants that restrict the right to receive compensation for performance of labor (C.R.S. § 8-2-113(2)(a)), and the statute provides no express exception for a non-dealing restraint; the parties include this covenant only where a genuine trade-secret interest supports it and Employee clears the applicable earnings threshold, and it is drawn no broader than reasonably necessary to protect Employer's Trade Secrets.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A Colorado covenant not to compete is void under C.R.S. § 8-2-113(2)(a) unless it fits the highly compensated worker exception. Accordingly, this covenant applies, and is enforceable, only if Employee earns annualized cash compensation equivalent to or greater than the Highly Compensated Worker Threshold listed in Cover Terms both at the time this agreement is entered into and at the time the covenant is enforced (C.R.S. § 8-2-113(2)(b)), and only as a restraint for the protection of Employer's Trade Secrets that is no broader than reasonably necessary to protect that interest. Employer bears the burden of establishing that the covenant falls within this exception.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C.R.S. § 8-2-113; it therefore applies, and is enforceable, only if Employee earns annualized cash compensation equivalent to or greater than the Highly Compensated Worker Threshold listed in Cover Terms both when this agreement is entered into and when it is enforced, is included solely for the protection of Employer's Trade Secrets, and is drawn no broader than reasonably necessary to protect that interest.</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or otherwise exercising rights protected by law.</w:t>
      </w:r>
    </w:p>
    <w:p>
      <w:pPr>
        <w:pStyle w:val="OABody"/>
        <w:keepNext/>
        <w:numPr>
          <w:ilvl w:val="0"/>
          <w:numId w:val="1"/>
        </w:numPr>
        <w:spacing w:before="320" w:after="120" w:line="340" w:lineRule="auto"/>
        <w:jc w:val="left"/>
      </w:pPr>
      <w:r>
        <w:rPr>
          <w:b/>
          <w:bCs/>
        </w:rPr>
        <w:t xml:space="preserve">Health-Care Provider Exclusion and Patient Communications</w:t>
      </w:r>
    </w:p>
    <w:p>
      <w:pPr>
        <w:pStyle w:val="OABody"/>
        <w:spacing w:before="0" w:after="120" w:line="340" w:lineRule="auto"/>
        <w:ind w:left="720"/>
      </w:pPr>
      <w:r>
        <w:t xml:space="preserve">For agreements entered into or renewed on or after August 6, 2025, and notwithstanding any other provision of this agreement, no covenant not to compete and no covenant not to solicit customers in this agreement applies to, or is enforceable against, Employee if Employee is a health-care provider — meaning an individual licensed to engage in the practice of medicine, registered to engage in the practice of advanced practice registered nursing, licensed to practice as a certified midwife, or licensed to engage in the practice of dentistry. The highly compensated worker exception is not available for a covenant restricting the practice of medicine, advanced practice registered nursing, or dentistry, at any compensation level, under S.B. 25-083 (2025), amending C.R.S. § 8-2-113(2)(b). In addition, nothing in this agreement restricts a departing health-care provider, or Employer, from disclosing to a patient the provider's continuing practice of medicine, the provider's new professional contact information, or the patient's right to choose a health-care provider (C.R.S. § 8-2-113(5.5)); any provision purporting to restrict those communications is void.</w:t>
      </w:r>
    </w:p>
    <w:p>
      <w:pPr>
        <w:pStyle w:val="OABody"/>
        <w:keepNext/>
        <w:numPr>
          <w:ilvl w:val="0"/>
          <w:numId w:val="1"/>
        </w:numPr>
        <w:spacing w:before="320" w:after="120" w:line="340" w:lineRule="auto"/>
        <w:jc w:val="left"/>
      </w:pPr>
      <w:r>
        <w:rPr>
          <w:b/>
          <w:bCs/>
        </w:rPr>
        <w:t xml:space="preserve">Minority-Owner Sale-of-Business Duration Cap</w:t>
      </w:r>
    </w:p>
    <w:p>
      <w:pPr>
        <w:pStyle w:val="OABody"/>
        <w:spacing w:before="0" w:after="120" w:line="340" w:lineRule="auto"/>
        <w:ind w:left="720"/>
      </w:pPr>
      <w:r>
        <w:t xml:space="preserve">If any non-compete in this agreement is entered into in connection with the purchase and sale of a business or its assets under C.R.S. § 8-2-113(3)(c), and Employee is a minority owner who received the ownership interest as equity compensation or otherwise in connection with services rendered, the duration in years of that covenant must not exceed a number calculated by dividing the total consideration Employee received from the sale by Employee's average annualized cash compensation received from the business, including income received on account of the ownership interest, during the preceding two years or during the period Employee was affiliated with the business, whichever period is shorter, as required by S.B. 25-083 (2025), amending C.R.S. § 8-2-113(3)(c). Any stated duration that exceeds this cap is limited to the cap.</w:t>
      </w:r>
    </w:p>
    <w:p>
      <w:pPr>
        <w:pStyle w:val="OABody"/>
        <w:keepNext/>
        <w:numPr>
          <w:ilvl w:val="0"/>
          <w:numId w:val="1"/>
        </w:numPr>
        <w:spacing w:before="320" w:after="120" w:line="340" w:lineRule="auto"/>
        <w:jc w:val="left"/>
      </w:pPr>
      <w:r>
        <w:rPr>
          <w:b/>
          <w:bCs/>
        </w:rPr>
        <w:t xml:space="preserve">Limits on Recovery of Training Costs</w:t>
      </w:r>
    </w:p>
    <w:p>
      <w:pPr>
        <w:pStyle w:val="OABody"/>
        <w:spacing w:before="0" w:after="120" w:line="340" w:lineRule="auto"/>
        <w:ind w:left="720"/>
      </w:pPr>
      <w:r>
        <w:t xml:space="preserve">Any provision under which Employer recovers the expense of educating and training Employee is limited to the recovery of the reasonable costs of training that is distinct from normal, on-the-job training, must satisfy any attorney-general rules on the transferability of the training or credentialing available to Employee, and the recoverable amount decreases over the course of the two years following the training, as required by C.R.S. § 8-2-113(3)(a). No such provision recovers ordinary onboarding or routine skills training or a flat amount untethered from documented training cost. Employer acknowledges that the attorney general may recover three times the amount of any recovery or attempted recovery made in violation of C.R.S. § 8-2-113(3)(a).</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in another state may be unenforceable against Employee to the extent Employee now primarily resides and works in Colorado.</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under C.R.S. § 8-2-113 and Employer has a reasonable belief that Employee may breach that covenant. Employer will not present or attempt to enforce a covenant that is void under C.R.S. § 8-2-113, because doing so is itself unlawful under C.R.S. § 8-2-113(8)(a).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Colorado law does not clearly authorize extending a restrictive covenant beyond its stated term, that Colorado courts have declined to extend a restraint past the term the parties specified (Phoenix Capital, Inc. v. Dowell, 176 P.3d 835 (Colo. App. 2007)), and that any non-compete or customer non-solicit must satisfy the applicable earnings threshold at the time of enforcement. Accordingly, the Restricted Period for each covenant runs from the date Employee's employment ends and is not extended by any period of breach.</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At the preliminary-injunction stage, Employer must still establish that the covenant falls within a statutory exception (Phoenix Capital, Inc. v. Dowell, 176 P.3d 835 (Colo. App. 2007)); no recital substitutes for that showing. Employee acknowledges that an employer that enters into, presents as a term of employment, or attempts to enforce a covenant void under C.R.S. § 8-2-113 is liable for actual damages and a penalty of five thousand dollars per worker or prospective worker harmed by the conduct (C.R.S. § 8-2-113(8)); any fee-shifting between the parties is mutual and prevailing-party based.</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so that an unenforceable covenant does not affect the others.</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Colorado courts have discretion to narrow an unenforceable covenant but are never required to do so, and the parties cannot contractually obligate a court to blue-pencil an unreasonable covenant (23 LTD v. Herman, 2019 COA 113). This agreement does not rely on any savings or reformation clause to cure overbreadth and does not purport to obligate a court to narrow any covenant. Each restrictive covenant is instead drawn within the enforceable scope Colorado law permits at the outset, because merely entering into or presenting a void covenant is unlawful under C.R.S. § 8-2-113(8)(a) and an employer cannot safely draft broad in reliance on discretionary judicial repair.</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as long as the relevant information remains a trade secret.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any assignee remains subject to C.R.S. § 8-2-113 as of the enforcement date, including the earnings threshold and trade-secret requirements.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For a worker who, at the time of termination of employment, primarily resided and worked in Colorado, Colorado law governs the enforceability of the restrictive covenants notwithstanding any provision to the contrary, and the enforceability of those covenants may not be adjudicated outside Colorado (C.R.S. § 8-2-113(6)). Accordingly, for such a worker, this agreement is governed by Colorado law and disputes over the enforceability of the covenants will be resolved in a Colorado forum. All other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providing new compensation or changed terms as consideration for a covenant restarts the fourteen-day advance-notice requirement of C.R.S. § 8-2-113(4) for a current worker.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(Colorado)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(Colorado)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(Colorado)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