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Alaska</w:t>
            </w:r>
          </w:p>
        </w:tc>
      </w:tr>
      <w:tr>
        <w:tc>
          <w:tcPr>
            <w:tcW w:w="3600" w:type="dxa"/>
            <w:tcMar>
              <w:top w:w="60" w:type="dxa"/>
              <w:left w:w="0" w:type="dxa"/>
              <w:bottom w:w="60" w:type="dxa"/>
              <w:right w:w="0" w:type="dxa"/>
            </w:tcMar>
          </w:tcPr>
          <w:p>
            <w:r>
              <w:rPr>
                <w:rFonts w:ascii="Arial" w:hAnsi="Arial" w:cs="Arial"/>
                <w:b/>
                <w:bCs/>
                <w:color w:val="1D2021"/>
                <w:sz w:val="22"/>
                <w:szCs w:val="22"/>
              </w:rPr>
              <w:t xml:space="preserve">Covenant Relationship Type</w:t>
            </w:r>
          </w:p>
        </w:tc>
        <w:tc>
          <w:tcPr>
            <w:tcW w:w="6480" w:type="dxa"/>
            <w:tcMar>
              <w:top w:w="60" w:type="dxa"/>
              <w:left w:w="0" w:type="dxa"/>
              <w:bottom w:w="60" w:type="dxa"/>
              <w:right w:w="0" w:type="dxa"/>
            </w:tcMar>
          </w:tcPr>
          <w:p>
            <w:r>
              <w:rPr>
                <w:rFonts w:ascii="Arial" w:hAnsi="Arial" w:cs="Arial"/>
                <w:color w:val="1D2021"/>
                <w:sz w:val="22"/>
                <w:szCs w:val="22"/>
              </w:rPr>
              <w:t xml:space="preserve">employment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whom Employer procured at its own expense and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covenant may protect under Alaska's common-law reasonableness rule, namely Employer's Confidential Information, Employer's trade secrets as defined by the Alaska Uniform Trade Secrets Act (AS 45.50.940), and Employer's goodwill in its customer, vendor, referral-source, and business-partner relationships,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Alaska Uniform Trade Secrets Act, AS 45.50.940.</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broader than is reasonably necessary for that protection. Alaska has no general non-compete statute; enforceability is governed by Alaska Supreme Court common law, under which non-competition agreements are strictly construed (DeCristofaro v. Sec. Nat'l Bank, 664 P.2d 167 (Alaska 1983)) and each restraint is tested against the reasonableness factors set out in Data Mgmt., Inc. v. Greene, 757 P.2d 62 (Alaska 1988) — including the presence of limitations as to time and space, whether Employee was the sole contact with the customer, whether Employee held confidential information or trade secrets, whether the covenant targets competition unfair to Employer or merely eliminates ordinary competition, whether it stifles Employee's inherent skill and experience, whether the benefit to Employer is disproportional to the detriment to Employee, and whether it bars Employee's sole means of support. The parties acknowledge that each covenant is meant to guard Employer's Confidential Information, trade secrets, and customer goodwill and not to eliminate ordinary competition, and that reasonableness is fact-bound — no term or territory is safe by rule, and each restraint must map to the business interest at stake.</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No staged Alaska authority resolves whether continued at-will employment alone supports a covenant signed mid-employment, so the parties recite the actual exchange supporting the covenants — which may include initial or continued employment, access to Confidential Information and customer relationships, training, compensation, a raise, or a bonus — as evidence of the consideration given.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Data Management reasonableness factors on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Alaska law, including the Alaska Uniform Trade Secrets Act, AS 45.50.910–.945, under which a court may enjoin actual or threatened misappropriation of trade secrets (AS 45.50.910(a)).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support Employer's protection of its trade secrets, and that a completed certification — or proof it was refused — is evidence for a motion to enjoin actual or threatened misappropriation under the Alaska Uniform Trade Secrets Act, AS 45.50.910(a).</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Alaska gives workforce restraints no separate rulebook — this covenant is weighed under the same fact-bound Data Management reasonableness factors as every other restraint in this agreement — and it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Consistent with Metcalfe Invs., Inc. v. Garrison, 919 P.2d 1356 (Alaska 1996), this covenant is limited to expropriating the information and customers Employer procured at its own expense; it reaches only Covered Customers with whom Employee had material contact and leaves Employee free to compete generally. This covenant maps directly onto Employer's customer-goodwill interest and, together with the confidentiality and trade-secret protections in this agreement, is often a stronger and more readily enforceable protection than a broad non-compete. This covenant does not apply where Employee had no access to Confidential Information relating to the Covered Customer, because a covenant not to contact former customers is unreasonable in that circumstance.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The parties intend it to remain limited to the customers and information Employer procured at its own expense and not to expand into a bar prohibiting Employee from practicing his or her specialty; where the customer class is so large that the restraint would amount to such a bar, Alaska requires it to be drafted more narrowly, and the parties intend this covenant to be so narrowed rather than to fail (Metcalfe Invs., Inc. v. Garrison, 919 P.2d 1356 (Alaska 1996)). It reaches only Covered Customers with whom Employee had material contact and to whom Employee had access to Confidential Information.</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Alaska strictly construes non-competition agreements (DeCristofaro v. Sec. Nat'l Bank, 664 P.2d 167 (Alaska 1983)), and the parties intend this covenant to be reasonably necessary to protect Employer's Protected Interests and no broader than needed under the Data Management reasonableness factors, with its time and territory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broader than required.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weighed under the Data Management reasonableness factors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Sale-of-Business Covenants</w:t>
      </w:r>
    </w:p>
    <w:p>
      <w:pPr>
        <w:pStyle w:val="OABody"/>
        <w:spacing w:before="0" w:after="120" w:line="340" w:lineRule="auto"/>
        <w:ind w:left="720"/>
      </w:pPr>
      <w:r>
        <w:t xml:space="preserve">Where the covenant relationship type in Cover Terms is a sale of a business, any covenant tied to that sale is drafted against Alaska's sale-of-business balance and not as an ordinary employment restraint. Alaska treats covenants arising from the sale of a business differently from ordinary employment covenants — the goodwill the buyer purchased is a recognized interest — but the restraint is read as a covenant against competition, not a ban on practicing a profession in any capacity (Dominic Wenzell, DMD PC v. Ingrim, 228 P.3d 103 (Alaska 2010)). Enforcement is weighed as a three-way balance: the buyer's need to protect the goodwill it purchased, the hardship to the seller from enforcing the covenant, and the likely injury to the public. Where the restrained work is for a federally funded nonprofit provider offering free or low-cost services to a population in need, competition will not be presumed and must be proven, and even proven competition leaves the court weighing whether enforcement would harm the public's access to those services. The parties intend any sale-of-business covenant to survive that weighing, not merely a radius-and-duration check.</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Alaska has no physician or other occupation statute governing restrictive covenants, so a covenant restraining a health-care practitioner is tested under the same common-law reasonableness as any other restraint. What Alaska adds is a public-interest lens drawn from Dominic Wenzell, DMD PC v. Ingrim, 228 P.3d 103 (Alaska 2010): where the restrained clinician serves a population in need of important low-cost care, enforcement is weighed against the harm to that access, not just against radius and duration, competition is not presumed and must be proven, and even proven competition leaves the court weighing the injury to the public. Accordingly, any covenant in this agreement restraining Employee from the practice of a health-care profession is intended to use a narrow radius and a short term, to preserve patient access and continuity of care, and to be enforced only to the extent it survives that public-interest weighing under Alaska's reasonableness factors. There is no enacted Alaska statute banning health-care non-competes, and this agreement does not assume any pending legislation.</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Alaska's reasonableness analysis may expose Employer to a claim, and that it should condition any such notice on a restraint it is prepared to defend as reasonably necessary and no broader than needed.</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No staged Alaska authority addresses whether a restricted period tolls or is equitably extended during a breach or during litigation over the covenant, so the parties state their intended extension expressly here rather than rely on any implied rule. Any such extension is itself a restraint that must remain reasonable under the Data Management factors, because a longer effective restraint is weighed under the same fact-bound time-and-space analysis as the original term;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Alaska Uniform Trade Secrets Act, under which a court may enjoin actual or threatened misappropriation of a trade secret (AS 45.50.910(a)) independent of any covenant. Where misappropriation is wilful and malicious, that Act authorizes exemplary damages in an amount not exceeding twice the compensatory award (AS 45.50.915), a statutory remedy that exists independent of any contractual fee-shifting.</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Reasonable Alteration</w:t>
      </w:r>
    </w:p>
    <w:p>
      <w:pPr>
        <w:pStyle w:val="OABody"/>
        <w:spacing w:before="0" w:after="120" w:line="340" w:lineRule="auto"/>
        <w:ind w:left="720"/>
      </w:pPr>
      <w:r>
        <w:t xml:space="preserve">Alaska does not follow a mechanical blue-pencil rule. Under Data Mgmt., Inc. v. Greene, 757 P.2d 62 (Alaska 1988), if an overbroad covenant not to compete can be reasonably altered to render it enforceable, the court shall do so — unless it determines the covenant was not drafted in good faith, and the burden of proving good-faith drafting is on the employer; where the employer has overreached willfully, the court should refuse to alter the covenant at all. Employer therefore requests reasonable alteration only if a restraint in this agreement is found to be overbroad, and acknowledges that this rescue is available only on a good-faith showing it must affirmatively make. Accordingly, each restrictive covenant is drawn as a tiered, severable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where a covenant changes hands in a business sale, its posture in Alaska changes with it — purchased goodwill is a recognized interest, but the analysis then weighs seller hardship and likely injury to the public — and the assignment should be read together with the Sale-of-Business Covenants section.</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Alaska law governs, the enforceability of each restrictive covenant is determined under Alaska Supreme Court common law; there is no general Alaska non-compete statute and no statutory safe harbor, so choosing Alaska selects strict construction and the fact-bound Data Management reasonableness factors for every covenant, and each covenant is drafted to survive that holistic analysis rather than to escape it. No staged Alaska authority overrides the parties' choice of law for restrictive covenants.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whether written or oral. The parties intend this integration to be load-bearing: the Alaska Supreme Court has enforced an oral customer-list noncompetition promise despite the absence of a writing (Metcalfe Invs., Inc. v. Garrison, 919 P.2d 1356 (Alaska 1996)), so this clause is the parties' defense against any side promise ripening into an enforceable restraint the document never states.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(Alaska)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