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32"/>
        </w:rPr>
        <w:t xml:space="preserve">Legal Due Diligence Request List</w:t>
      </w:r>
    </w:p>
    <w:p>
      <w:pPr>
        <w:jc w:val="center"/>
      </w:pPr>
      <w:r>
        <w:rPr>
          <w:rFonts w:ascii="Times New Roman" w:hAnsi="Times New Roman"/>
          <w:i/>
          <w:sz w:val="20"/>
        </w:rPr>
        <w:t xml:space="preserve">OpenAgreements Legal Due Diligence Request List (v1.0). Free to use under CC BY 4.0.</w:t>
      </w:r>
    </w:p>
    <w:p/>
    <w:p>
      <w:r>
        <w:rPr>
          <w:rFonts w:ascii="Times New Roman" w:hAnsi="Times New Roman"/>
          <w:b/>
          <w:i w:val="0"/>
          <w:sz w:val="26"/>
        </w:rPr>
        <w:t xml:space="preserve">Cover Sheet</w:t>
      </w:r>
    </w:p>
    <w:tbl>
      <w:tblPr>
        <w:tblW w:type="auto" w:w="0"/>
        <w:tblLayout w:type="autofit"/>
        <w:tblLook w:firstColumn="1" w:firstRow="1" w:lastColumn="0" w:lastRow="0" w:noHBand="0" w:noVBand="1" w:val="04A0"/>
      </w:tblPr>
      <w:tblGrid>
        <w:gridCol w:w="4320"/>
        <w:gridCol w:w="4320"/>
      </w:tblGrid>
      <w:tr>
        <w:tc>
          <w:tcPr>
            <w:tcW w:type="dxa" w:w="4320"/>
            <w:tcBorders>
              <w:top w:val="single" w:sz="4" w:color="000000"/>
              <w:left w:val="single" w:sz="4" w:color="000000"/>
              <w:bottom w:val="single" w:sz="4" w:color="000000"/>
              <w:right w:val="single" w:sz="4" w:color="000000"/>
            </w:tcBorders>
          </w:tcPr>
          <w:p>
            <w:r/>
            <w:r>
              <w:rPr>
                <w:rFonts w:ascii="Times New Roman" w:hAnsi="Times New Roman"/>
                <w:b/>
                <w:sz w:val="22"/>
              </w:rPr>
              <w:t xml:space="preserve">Requesting Firm</w:t>
            </w:r>
          </w:p>
        </w:tc>
        <w:tc>
          <w:tcPr>
            <w:tcW w:type="dxa" w:w="4320"/>
            <w:tcBorders>
              <w:top w:val="single" w:sz="4" w:color="000000"/>
              <w:left w:val="single" w:sz="4" w:color="000000"/>
              <w:bottom w:val="single" w:sz="4" w:color="000000"/>
              <w:right w:val="single" w:sz="4" w:color="000000"/>
            </w:tcBorders>
          </w:tcPr>
          <w:p>
            <w:r/>
            <w:r>
              <w:rPr>
                <w:rFonts w:ascii="Times New Roman" w:hAnsi="Times New Roman"/>
                <w:sz w:val="22"/>
                <w:highlight w:val="yellow"/>
              </w:rPr>
              <w:t xml:space="preserve">[Legal name of the buyer's law firm sending the request]</w:t>
            </w:r>
          </w:p>
        </w:tc>
      </w:tr>
      <w:tr>
        <w:tc>
          <w:tcPr>
            <w:tcW w:type="dxa" w:w="4320"/>
            <w:tcBorders>
              <w:top w:val="single" w:sz="4" w:color="000000"/>
              <w:left w:val="single" w:sz="4" w:color="000000"/>
              <w:bottom w:val="single" w:sz="4" w:color="000000"/>
              <w:right w:val="single" w:sz="4" w:color="000000"/>
            </w:tcBorders>
          </w:tcPr>
          <w:p>
            <w:r/>
            <w:r>
              <w:rPr>
                <w:rFonts w:ascii="Times New Roman" w:hAnsi="Times New Roman"/>
                <w:b/>
                <w:sz w:val="22"/>
              </w:rPr>
              <w:t xml:space="preserve">Target Company</w:t>
            </w:r>
          </w:p>
        </w:tc>
        <w:tc>
          <w:tcPr>
            <w:tcW w:type="dxa" w:w="4320"/>
            <w:tcBorders>
              <w:top w:val="single" w:sz="4" w:color="000000"/>
              <w:left w:val="single" w:sz="4" w:color="000000"/>
              <w:bottom w:val="single" w:sz="4" w:color="000000"/>
              <w:right w:val="single" w:sz="4" w:color="000000"/>
            </w:tcBorders>
          </w:tcPr>
          <w:p>
            <w:r/>
            <w:r>
              <w:rPr>
                <w:rFonts w:ascii="Times New Roman" w:hAnsi="Times New Roman"/>
                <w:sz w:val="22"/>
                <w:highlight w:val="yellow"/>
              </w:rPr>
              <w:t xml:space="preserve">[Legal name of the target company receiving the request]</w:t>
            </w:r>
          </w:p>
        </w:tc>
      </w:tr>
      <w:tr>
        <w:tc>
          <w:tcPr>
            <w:tcW w:type="dxa" w:w="4320"/>
            <w:tcBorders>
              <w:top w:val="single" w:sz="4" w:color="000000"/>
              <w:left w:val="single" w:sz="4" w:color="000000"/>
              <w:bottom w:val="single" w:sz="4" w:color="000000"/>
              <w:right w:val="single" w:sz="4" w:color="000000"/>
            </w:tcBorders>
          </w:tcPr>
          <w:p>
            <w:r/>
            <w:r>
              <w:rPr>
                <w:rFonts w:ascii="Times New Roman" w:hAnsi="Times New Roman"/>
                <w:b/>
                <w:sz w:val="22"/>
              </w:rPr>
              <w:t xml:space="preserve">Project Code Name</w:t>
            </w:r>
          </w:p>
        </w:tc>
        <w:tc>
          <w:tcPr>
            <w:tcW w:type="dxa" w:w="4320"/>
            <w:tcBorders>
              <w:top w:val="single" w:sz="4" w:color="000000"/>
              <w:left w:val="single" w:sz="4" w:color="000000"/>
              <w:bottom w:val="single" w:sz="4" w:color="000000"/>
              <w:right w:val="single" w:sz="4" w:color="000000"/>
            </w:tcBorders>
          </w:tcPr>
          <w:p>
            <w:r/>
            <w:r>
              <w:rPr>
                <w:rFonts w:ascii="Times New Roman" w:hAnsi="Times New Roman"/>
                <w:sz w:val="22"/>
              </w:rPr>
              <w:t xml:space="preserve"/>
            </w:r>
          </w:p>
        </w:tc>
      </w:tr>
      <w:tr>
        <w:tc>
          <w:tcPr>
            <w:tcW w:type="dxa" w:w="4320"/>
            <w:tcBorders>
              <w:top w:val="single" w:sz="4" w:color="000000"/>
              <w:left w:val="single" w:sz="4" w:color="000000"/>
              <w:bottom w:val="single" w:sz="4" w:color="000000"/>
              <w:right w:val="single" w:sz="4" w:color="000000"/>
            </w:tcBorders>
          </w:tcPr>
          <w:p>
            <w:r/>
            <w:r>
              <w:rPr>
                <w:rFonts w:ascii="Times New Roman" w:hAnsi="Times New Roman"/>
                <w:b/>
                <w:sz w:val="22"/>
              </w:rPr>
              <w:t xml:space="preserve">Request Date</w:t>
            </w:r>
          </w:p>
        </w:tc>
        <w:tc>
          <w:tcPr>
            <w:tcW w:type="dxa" w:w="4320"/>
            <w:tcBorders>
              <w:top w:val="single" w:sz="4" w:color="000000"/>
              <w:left w:val="single" w:sz="4" w:color="000000"/>
              <w:bottom w:val="single" w:sz="4" w:color="000000"/>
              <w:right w:val="single" w:sz="4" w:color="000000"/>
            </w:tcBorders>
          </w:tcPr>
          <w:p>
            <w:r/>
            <w:r>
              <w:rPr>
                <w:rFonts w:ascii="Times New Roman" w:hAnsi="Times New Roman"/>
                <w:sz w:val="22"/>
                <w:highlight w:val="yellow"/>
              </w:rPr>
              <w:t xml:space="preserve">[Date the request list is delivered to the target]</w:t>
            </w:r>
          </w:p>
        </w:tc>
      </w:tr>
      <w:tr>
        <w:tc>
          <w:tcPr>
            <w:tcW w:type="dxa" w:w="4320"/>
            <w:tcBorders>
              <w:top w:val="single" w:sz="4" w:color="000000"/>
              <w:left w:val="single" w:sz="4" w:color="000000"/>
              <w:bottom w:val="single" w:sz="4" w:color="000000"/>
              <w:right w:val="single" w:sz="4" w:color="000000"/>
            </w:tcBorders>
          </w:tcPr>
          <w:p>
            <w:r/>
            <w:r>
              <w:rPr>
                <w:rFonts w:ascii="Times New Roman" w:hAnsi="Times New Roman"/>
                <w:b/>
                <w:sz w:val="22"/>
              </w:rPr>
              <w:t xml:space="preserve">Response Due Date</w:t>
            </w:r>
          </w:p>
        </w:tc>
        <w:tc>
          <w:tcPr>
            <w:tcW w:type="dxa" w:w="4320"/>
            <w:tcBorders>
              <w:top w:val="single" w:sz="4" w:color="000000"/>
              <w:left w:val="single" w:sz="4" w:color="000000"/>
              <w:bottom w:val="single" w:sz="4" w:color="000000"/>
              <w:right w:val="single" w:sz="4" w:color="000000"/>
            </w:tcBorders>
          </w:tcPr>
          <w:p>
            <w:r/>
            <w:r>
              <w:rPr>
                <w:rFonts w:ascii="Times New Roman" w:hAnsi="Times New Roman"/>
                <w:sz w:val="22"/>
                <w:highlight w:val="yellow"/>
              </w:rPr>
              <w:t xml:space="preserve">[Date by which the target's first-round response is due]</w:t>
            </w:r>
          </w:p>
        </w:tc>
      </w:tr>
      <w:tr>
        <w:tc>
          <w:tcPr>
            <w:tcW w:type="dxa" w:w="4320"/>
            <w:tcBorders>
              <w:top w:val="single" w:sz="4" w:color="000000"/>
              <w:left w:val="single" w:sz="4" w:color="000000"/>
              <w:bottom w:val="single" w:sz="4" w:color="000000"/>
              <w:right w:val="single" w:sz="4" w:color="000000"/>
            </w:tcBorders>
          </w:tcPr>
          <w:p>
            <w:r/>
            <w:r>
              <w:rPr>
                <w:rFonts w:ascii="Times New Roman" w:hAnsi="Times New Roman"/>
                <w:b/>
                <w:sz w:val="22"/>
              </w:rPr>
              <w:t xml:space="preserve">Lead Buyer Counsel</w:t>
            </w:r>
          </w:p>
        </w:tc>
        <w:tc>
          <w:tcPr>
            <w:tcW w:type="dxa" w:w="4320"/>
            <w:tcBorders>
              <w:top w:val="single" w:sz="4" w:color="000000"/>
              <w:left w:val="single" w:sz="4" w:color="000000"/>
              <w:bottom w:val="single" w:sz="4" w:color="000000"/>
              <w:right w:val="single" w:sz="4" w:color="000000"/>
            </w:tcBorders>
          </w:tcPr>
          <w:p>
            <w:r/>
            <w:r>
              <w:rPr>
                <w:rFonts w:ascii="Times New Roman" w:hAnsi="Times New Roman"/>
                <w:sz w:val="22"/>
                <w:highlight w:val="yellow"/>
              </w:rPr>
              <w:t xml:space="preserve">[Name of the lead attorney at the requesting firm]</w:t>
            </w:r>
            <w:r>
              <w:rPr>
                <w:rFonts w:ascii="Times New Roman" w:hAnsi="Times New Roman"/>
                <w:sz w:val="22"/>
              </w:rPr>
              <w:t xml:space="preserve"> (</w:t>
            </w:r>
            <w:r>
              <w:rPr>
                <w:rFonts w:ascii="Times New Roman" w:hAnsi="Times New Roman"/>
                <w:sz w:val="22"/>
                <w:highlight w:val="yellow"/>
              </w:rPr>
              <w:t xml:space="preserve">[Email of the lead attorney at the requesting firm]</w:t>
            </w:r>
            <w:r>
              <w:rPr>
                <w:rFonts w:ascii="Times New Roman" w:hAnsi="Times New Roman"/>
                <w:sz w:val="22"/>
              </w:rPr>
              <w:t xml:space="preserve">)</w:t>
            </w:r>
          </w:p>
        </w:tc>
      </w:tr>
      <w:tr>
        <w:tc>
          <w:tcPr>
            <w:tcW w:type="dxa" w:w="4320"/>
            <w:tcBorders>
              <w:top w:val="single" w:sz="4" w:color="000000"/>
              <w:left w:val="single" w:sz="4" w:color="000000"/>
              <w:bottom w:val="single" w:sz="4" w:color="000000"/>
              <w:right w:val="single" w:sz="4" w:color="000000"/>
            </w:tcBorders>
          </w:tcPr>
          <w:p>
            <w:r/>
            <w:r>
              <w:rPr>
                <w:rFonts w:ascii="Times New Roman" w:hAnsi="Times New Roman"/>
                <w:b/>
                <w:sz w:val="22"/>
              </w:rPr>
              <w:t xml:space="preserve">Primary Target Contact</w:t>
            </w:r>
          </w:p>
        </w:tc>
        <w:tc>
          <w:tcPr>
            <w:tcW w:type="dxa" w:w="4320"/>
            <w:tcBorders>
              <w:top w:val="single" w:sz="4" w:color="000000"/>
              <w:left w:val="single" w:sz="4" w:color="000000"/>
              <w:bottom w:val="single" w:sz="4" w:color="000000"/>
              <w:right w:val="single" w:sz="4" w:color="000000"/>
            </w:tcBorders>
          </w:tcPr>
          <w:p>
            <w:r/>
            <w:r>
              <w:rPr>
                <w:rFonts w:ascii="Times New Roman" w:hAnsi="Times New Roman"/>
                <w:sz w:val="22"/>
                <w:highlight w:val="yellow"/>
              </w:rPr>
              <w:t xml:space="preserve">[Name of the target's primary point of contact for diligence responses]</w:t>
            </w:r>
          </w:p>
        </w:tc>
      </w:tr>
      <w:tr>
        <w:tc>
          <w:tcPr>
            <w:tcW w:type="dxa" w:w="4320"/>
            <w:tcBorders>
              <w:top w:val="single" w:sz="4" w:color="000000"/>
              <w:left w:val="single" w:sz="4" w:color="000000"/>
              <w:bottom w:val="single" w:sz="4" w:color="000000"/>
              <w:right w:val="single" w:sz="4" w:color="000000"/>
            </w:tcBorders>
          </w:tcPr>
          <w:p>
            <w:r/>
            <w:r>
              <w:rPr>
                <w:rFonts w:ascii="Times New Roman" w:hAnsi="Times New Roman"/>
                <w:b/>
                <w:sz w:val="22"/>
              </w:rPr>
              <w:t xml:space="preserve">Currency</w:t>
            </w:r>
          </w:p>
        </w:tc>
        <w:tc>
          <w:tcPr>
            <w:tcW w:type="dxa" w:w="4320"/>
            <w:tcBorders>
              <w:top w:val="single" w:sz="4" w:color="000000"/>
              <w:left w:val="single" w:sz="4" w:color="000000"/>
              <w:bottom w:val="single" w:sz="4" w:color="000000"/>
              <w:right w:val="single" w:sz="4" w:color="000000"/>
            </w:tcBorders>
          </w:tcPr>
          <w:p>
            <w:r/>
            <w:r>
              <w:rPr>
                <w:rFonts w:ascii="Times New Roman" w:hAnsi="Times New Roman"/>
                <w:sz w:val="22"/>
              </w:rPr>
              <w:t xml:space="preserve">USD</w:t>
            </w:r>
          </w:p>
        </w:tc>
      </w:tr>
      <w:tr>
        <w:tc>
          <w:tcPr>
            <w:tcW w:type="dxa" w:w="4320"/>
            <w:tcBorders>
              <w:top w:val="single" w:sz="4" w:color="000000"/>
              <w:left w:val="single" w:sz="4" w:color="000000"/>
              <w:bottom w:val="single" w:sz="4" w:color="000000"/>
              <w:right w:val="single" w:sz="4" w:color="000000"/>
            </w:tcBorders>
          </w:tcPr>
          <w:p>
            <w:r/>
            <w:r>
              <w:rPr>
                <w:rFonts w:ascii="Times New Roman" w:hAnsi="Times New Roman"/>
                <w:b/>
                <w:sz w:val="22"/>
              </w:rPr>
              <w:t xml:space="preserve">Data Room</w:t>
            </w:r>
          </w:p>
        </w:tc>
        <w:tc>
          <w:tcPr>
            <w:tcW w:type="dxa" w:w="4320"/>
            <w:tcBorders>
              <w:top w:val="single" w:sz="4" w:color="000000"/>
              <w:left w:val="single" w:sz="4" w:color="000000"/>
              <w:bottom w:val="single" w:sz="4" w:color="000000"/>
              <w:right w:val="single" w:sz="4" w:color="000000"/>
            </w:tcBorders>
          </w:tcPr>
          <w:p>
            <w:r/>
            <w:r>
              <w:rPr>
                <w:rFonts w:ascii="Times New Roman" w:hAnsi="Times New Roman"/>
                <w:sz w:val="22"/>
              </w:rPr>
              <w:t xml:space="preserve"/>
            </w:r>
          </w:p>
        </w:tc>
      </w:tr>
      <w:tr>
        <w:tc>
          <w:tcPr>
            <w:tcW w:type="dxa" w:w="4320"/>
            <w:tcBorders>
              <w:top w:val="single" w:sz="4" w:color="000000"/>
              <w:left w:val="single" w:sz="4" w:color="000000"/>
              <w:bottom w:val="single" w:sz="4" w:color="000000"/>
              <w:right w:val="single" w:sz="4" w:color="000000"/>
            </w:tcBorders>
          </w:tcPr>
          <w:p>
            <w:r/>
            <w:r>
              <w:rPr>
                <w:rFonts w:ascii="Times New Roman" w:hAnsi="Times New Roman"/>
                <w:b/>
                <w:sz w:val="22"/>
              </w:rPr>
              <w:t xml:space="preserve">Deal Type</w:t>
            </w:r>
          </w:p>
        </w:tc>
        <w:tc>
          <w:tcPr>
            <w:tcW w:type="dxa" w:w="4320"/>
            <w:tcBorders>
              <w:top w:val="single" w:sz="4" w:color="000000"/>
              <w:left w:val="single" w:sz="4" w:color="000000"/>
              <w:bottom w:val="single" w:sz="4" w:color="000000"/>
              <w:right w:val="single" w:sz="4" w:color="000000"/>
            </w:tcBorders>
          </w:tcPr>
          <w:p>
            <w:r/>
            <w:r>
              <w:rPr>
                <w:rFonts w:ascii="Times New Roman" w:hAnsi="Times New Roman"/>
                <w:sz w:val="22"/>
                <w:highlight w:val="yellow"/>
              </w:rPr>
              <w:t xml:space="preserve">[Type of transaction the DDRL supports]</w:t>
            </w:r>
          </w:p>
        </w:tc>
      </w:tr>
      <w:tr>
        <w:tc>
          <w:tcPr>
            <w:tcW w:type="dxa" w:w="4320"/>
            <w:tcBorders>
              <w:top w:val="single" w:sz="4" w:color="000000"/>
              <w:left w:val="single" w:sz="4" w:color="000000"/>
              <w:bottom w:val="single" w:sz="4" w:color="000000"/>
              <w:right w:val="single" w:sz="4" w:color="000000"/>
            </w:tcBorders>
          </w:tcPr>
          <w:p>
            <w:r/>
            <w:r>
              <w:rPr>
                <w:rFonts w:ascii="Times New Roman" w:hAnsi="Times New Roman"/>
                <w:b/>
                <w:sz w:val="22"/>
              </w:rPr>
              <w:t xml:space="preserve">Transaction Stage</w:t>
            </w:r>
          </w:p>
        </w:tc>
        <w:tc>
          <w:tcPr>
            <w:tcW w:type="dxa" w:w="4320"/>
            <w:tcBorders>
              <w:top w:val="single" w:sz="4" w:color="000000"/>
              <w:left w:val="single" w:sz="4" w:color="000000"/>
              <w:bottom w:val="single" w:sz="4" w:color="000000"/>
              <w:right w:val="single" w:sz="4" w:color="000000"/>
            </w:tcBorders>
          </w:tcPr>
          <w:p>
            <w:r/>
            <w:r>
              <w:rPr>
                <w:rFonts w:ascii="Times New Roman" w:hAnsi="Times New Roman"/>
                <w:sz w:val="22"/>
              </w:rPr>
              <w:t xml:space="preserve">post_loi_pre_signing</w:t>
            </w:r>
          </w:p>
        </w:tc>
      </w:tr>
      <w:tr>
        <w:tc>
          <w:tcPr>
            <w:tcW w:type="dxa" w:w="4320"/>
            <w:tcBorders>
              <w:top w:val="single" w:sz="4" w:color="000000"/>
              <w:left w:val="single" w:sz="4" w:color="000000"/>
              <w:bottom w:val="single" w:sz="4" w:color="000000"/>
              <w:right w:val="single" w:sz="4" w:color="000000"/>
            </w:tcBorders>
          </w:tcPr>
          <w:p>
            <w:r/>
            <w:r>
              <w:rPr>
                <w:rFonts w:ascii="Times New Roman" w:hAnsi="Times New Roman"/>
                <w:b/>
                <w:sz w:val="22"/>
              </w:rPr>
              <w:t xml:space="preserve">Materiality Threshold (Dollar)</w:t>
            </w:r>
          </w:p>
        </w:tc>
        <w:tc>
          <w:tcPr>
            <w:tcW w:type="dxa" w:w="4320"/>
            <w:tcBorders>
              <w:top w:val="single" w:sz="4" w:color="000000"/>
              <w:left w:val="single" w:sz="4" w:color="000000"/>
              <w:bottom w:val="single" w:sz="4" w:color="000000"/>
              <w:right w:val="single" w:sz="4" w:color="000000"/>
            </w:tcBorders>
          </w:tcPr>
          <w:p>
            <w:r/>
            <w:r>
              <w:rPr>
                <w:rFonts w:ascii="Times New Roman" w:hAnsi="Times New Roman"/>
                <w:sz w:val="22"/>
              </w:rPr>
              <w:t xml:space="preserve">$100,000</w:t>
            </w:r>
          </w:p>
        </w:tc>
      </w:tr>
      <w:tr>
        <w:tc>
          <w:tcPr>
            <w:tcW w:type="dxa" w:w="4320"/>
            <w:tcBorders>
              <w:top w:val="single" w:sz="4" w:color="000000"/>
              <w:left w:val="single" w:sz="4" w:color="000000"/>
              <w:bottom w:val="single" w:sz="4" w:color="000000"/>
              <w:right w:val="single" w:sz="4" w:color="000000"/>
            </w:tcBorders>
          </w:tcPr>
          <w:p>
            <w:r/>
            <w:r>
              <w:rPr>
                <w:rFonts w:ascii="Times New Roman" w:hAnsi="Times New Roman"/>
                <w:b/>
                <w:sz w:val="22"/>
              </w:rPr>
              <w:t xml:space="preserve">Materiality Threshold (% of Revenue)</w:t>
            </w:r>
          </w:p>
        </w:tc>
        <w:tc>
          <w:tcPr>
            <w:tcW w:type="dxa" w:w="4320"/>
            <w:tcBorders>
              <w:top w:val="single" w:sz="4" w:color="000000"/>
              <w:left w:val="single" w:sz="4" w:color="000000"/>
              <w:bottom w:val="single" w:sz="4" w:color="000000"/>
              <w:right w:val="single" w:sz="4" w:color="000000"/>
            </w:tcBorders>
          </w:tcPr>
          <w:p>
            <w:r/>
            <w:r>
              <w:rPr>
                <w:rFonts w:ascii="Times New Roman" w:hAnsi="Times New Roman"/>
                <w:sz w:val="22"/>
              </w:rPr>
              <w:t xml:space="preserve">5%</w:t>
            </w:r>
          </w:p>
        </w:tc>
      </w:tr>
      <w:tr>
        <w:tc>
          <w:tcPr>
            <w:tcW w:type="dxa" w:w="4320"/>
            <w:tcBorders>
              <w:top w:val="single" w:sz="4" w:color="000000"/>
              <w:left w:val="single" w:sz="4" w:color="000000"/>
              <w:bottom w:val="single" w:sz="4" w:color="000000"/>
              <w:right w:val="single" w:sz="4" w:color="000000"/>
            </w:tcBorders>
          </w:tcPr>
          <w:p>
            <w:r/>
            <w:r>
              <w:rPr>
                <w:rFonts w:ascii="Times New Roman" w:hAnsi="Times New Roman"/>
                <w:b/>
                <w:sz w:val="22"/>
              </w:rPr>
              <w:t xml:space="preserve">Default Lookback (Years)</w:t>
            </w:r>
          </w:p>
        </w:tc>
        <w:tc>
          <w:tcPr>
            <w:tcW w:type="dxa" w:w="4320"/>
            <w:tcBorders>
              <w:top w:val="single" w:sz="4" w:color="000000"/>
              <w:left w:val="single" w:sz="4" w:color="000000"/>
              <w:bottom w:val="single" w:sz="4" w:color="000000"/>
              <w:right w:val="single" w:sz="4" w:color="000000"/>
            </w:tcBorders>
          </w:tcPr>
          <w:p>
            <w:r/>
            <w:r>
              <w:rPr>
                <w:rFonts w:ascii="Times New Roman" w:hAnsi="Times New Roman"/>
                <w:sz w:val="22"/>
              </w:rPr>
              <w:t xml:space="preserve">3</w:t>
            </w:r>
          </w:p>
        </w:tc>
      </w:tr>
    </w:tbl>
    <w:p/>
    <w:p>
      <w:r>
        <w:rPr>
          <w:rFonts w:ascii="Times New Roman" w:hAnsi="Times New Roman"/>
          <w:b/>
          <w:i w:val="0"/>
          <w:sz w:val="26"/>
        </w:rPr>
        <w:t xml:space="preserve">Engagement Scope and Instructions</w:t>
      </w:r>
    </w:p>
    <w:p>
      <w:pPr>
        <w:jc w:val="both"/>
      </w:pPr>
      <w:r>
        <w:rPr>
          <w:rFonts w:ascii="Times New Roman" w:hAnsi="Times New Roman"/>
          <w:b w:val="0"/>
          <w:i w:val="0"/>
          <w:sz w:val="22"/>
        </w:rPr>
        <w:t xml:space="preserve">This request list opens the legal due diligence phase of the contemplated transaction. The target should populate a virtual data room with responsive documents and complete the response columns as set out below.</w:t>
      </w:r>
    </w:p>
    <w:p>
      <w:pPr>
        <w:jc w:val="both"/>
      </w:pPr>
      <w:r>
        <w:rPr>
          <w:rFonts w:ascii="Times New Roman" w:hAnsi="Times New Roman"/>
          <w:b w:val="0"/>
          <w:i w:val="0"/>
          <w:sz w:val="22"/>
        </w:rPr>
        <w:t xml:space="preserve">Response columns. For each numbered request, indicate one of: (a) Provided — with file path or VDR link; (b) Does Not Exist — with brief basis; (c) Not Applicable — with brief basis; or (d) Privileged / Withheld — flag if attorney-client-privileged material is responsive but withheld or produced in redacted form.</w:t>
      </w:r>
    </w:p>
    <w:p>
      <w:pPr>
        <w:jc w:val="both"/>
      </w:pPr>
      <w:r>
        <w:rPr>
          <w:rFonts w:ascii="Times New Roman" w:hAnsi="Times New Roman"/>
          <w:b w:val="0"/>
          <w:i w:val="0"/>
          <w:sz w:val="22"/>
        </w:rPr>
        <w:t xml:space="preserve">Materiality. Where a request is qualified by "material," "material" means the lower of (a) </w:t>
        <w:t xml:space="preserve">$100,000</w:t>
        <w:t xml:space="preserve"> per item or annual aggregate, or (b) </w:t>
        <w:t xml:space="preserve">5%</w:t>
        <w:t xml:space="preserve"> of the target's gross revenue for the most recent completed fiscal year. Qualitative materiality (anti-assignment, change-of-control, exclusivity, MFN, IP encumbrance) governs regardless of the dollar threshold.</w:t>
      </w:r>
    </w:p>
    <w:p>
      <w:pPr>
        <w:jc w:val="both"/>
      </w:pPr>
      <w:r>
        <w:rPr>
          <w:rFonts w:ascii="Times New Roman" w:hAnsi="Times New Roman"/>
          <w:b w:val="0"/>
          <w:i w:val="0"/>
          <w:sz w:val="22"/>
        </w:rPr>
        <w:t xml:space="preserve">Lookback. Unless a section specifies otherwise, the lookback period is </w:t>
        <w:t xml:space="preserve">3</w:t>
        <w:t xml:space="preserve"> years. Section-specific lookbacks may be longer (litigation, tax, regulatory correspondence). Regulatory investigations, settlements, and consent decrees should be produced regardless of date.</w:t>
      </w:r>
    </w:p>
    <w:p>
      <w:pPr>
        <w:jc w:val="both"/>
      </w:pPr>
      <w:r>
        <w:rPr>
          <w:rFonts w:ascii="Times New Roman" w:hAnsi="Times New Roman"/>
          <w:b w:val="0"/>
          <w:i w:val="0"/>
          <w:sz w:val="22"/>
        </w:rPr>
        <w:t xml:space="preserve">Foldering. The data room should be foldered to match the section structure of this request list, with sub-folders per request. Each file should be named to identify the responsive request.</w:t>
      </w:r>
    </w:p>
    <w:p>
      <w:pPr>
        <w:jc w:val="both"/>
      </w:pPr>
      <w:r>
        <w:rPr>
          <w:rFonts w:ascii="Times New Roman" w:hAnsi="Times New Roman"/>
          <w:b w:val="0"/>
          <w:i w:val="0"/>
          <w:sz w:val="22"/>
        </w:rPr>
        <w:t xml:space="preserve">Iteration. This is the first round of an iterative production project. Follow-up rounds typically run 5–7 business days after each prior production. Substantive completion typically requires 2–3 rounds.</w:t>
      </w:r>
    </w:p>
    <w:p/>
    <w:p>
      <w:r>
        <w:rPr>
          <w:rFonts w:ascii="Times New Roman" w:hAnsi="Times New Roman"/>
          <w:b/>
          <w:i w:val="0"/>
          <w:sz w:val="24"/>
        </w:rPr>
        <w:t xml:space="preserve">Section A — Corporate Organization, Authority, and Governance</w:t>
      </w:r>
    </w:p>
    <w:tbl>
      <w:tblPr>
        <w:tblW w:type="auto" w:w="0"/>
        <w:tblLayout w:type="fixed"/>
        <w:tblLook w:firstColumn="1" w:firstRow="1" w:lastColumn="0" w:lastRow="0" w:noHBand="0" w:noVBand="1" w:val="04A0"/>
      </w:tblPr>
      <w:tblGrid>
        <w:gridCol w:w="4320"/>
        <w:gridCol w:w="4320"/>
      </w:tblGrid>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A.1</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Certificate of Incorporation, all amendments, and the current certified or filed version.</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A.2</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Bylaws or operating agreement, all amendments, and the current operative version.</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A.3</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Complete minute books for the past </w:t>
              <w:t xml:space="preserve">3</w:t>
              <w:t xml:space="preserve"> years, including board minutes, written consents, and committee minutes.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A.4</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Stockholder or member meeting minutes and written consents for the past </w:t>
              <w:t xml:space="preserve">3</w:t>
              <w:t xml:space="preserve"> years.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A.5</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Certificates of good standing from the state of formation and from each state where the target is qualified to do business.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A.6</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Officer and director list, including titles, dates of service, and any departures within the past </w:t>
              <w:t xml:space="preserve">3</w:t>
              <w:t xml:space="preserve"> years.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A.7</w:t>
            </w:r>
          </w:p>
        </w:tc>
        <w:tc>
          <w:tcPr>
            <w:tcW w:type="dxa" w:w="4320"/>
            <w:tcBorders>
              <w:top w:val="single" w:sz="4" w:color="000000"/>
              <w:left w:val="single" w:sz="4" w:color="000000"/>
              <w:bottom w:val="single" w:sz="4" w:color="000000"/>
              <w:right w:val="single" w:sz="4" w:color="000000"/>
            </w:tcBorders>
          </w:tcPr>
          <w:p>
            <w:pPr>
              <w:jc w:val="left"/>
            </w:pPr>
            <w:r>
              <w:rPr>
                <w:rFonts w:ascii="Times New Roman" w:hAnsi="Times New Roman"/>
                <w:sz w:val="22"/>
              </w:rPr>
              <w:t xml:space="preserve">Beneficial Ownership Information (BOI) reports filed pursuant to the Corporate Transparency Act, and any updates, if applicable. Note: FinCEN's March 26, 2025 interim final rule exempts U.S.-formed entities and U.S. persons; only foreign reporting companies remain subject.</w:t>
            </w:r>
          </w:p>
        </w:tc>
      </w:tr>
    </w:tbl>
    <w:p/>
    <w:p>
      <w:r>
        <w:rPr>
          <w:rFonts w:ascii="Times New Roman" w:hAnsi="Times New Roman"/>
          <w:b/>
          <w:i w:val="0"/>
          <w:sz w:val="24"/>
        </w:rPr>
        <w:t xml:space="preserve">Section B — Capitalization and Securities</w:t>
      </w:r>
    </w:p>
    <w:tbl>
      <w:tblPr>
        <w:tblW w:type="auto" w:w="0"/>
        <w:tblLayout w:type="fixed"/>
        <w:tblLook w:firstColumn="1" w:firstRow="1" w:lastColumn="0" w:lastRow="0" w:noHBand="0" w:noVBand="1" w:val="04A0"/>
      </w:tblPr>
      <w:tblGrid>
        <w:gridCol w:w="4320"/>
        <w:gridCol w:w="4320"/>
      </w:tblGrid>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B.1</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Capitalization table as of the most recent month-end, showing authorized, issued, outstanding, and treasury securities by class.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B.2</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Stock ledger, option ledger, warrant ledger, SAFE ledger, and convertible-note ledger.</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B.3</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Equity incentive plan documents, all amendments, and forms of grant agreement (option, RSU, restricted stock).</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B.4</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All 83(b) election filings and proof of timely IRS submission within the 30-day statutory window.</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B.5</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409A valuation reports for the past </w:t>
              <w:t xml:space="preserve">3</w:t>
              <w:t xml:space="preserve"> years.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B.6</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All stockholder agreements, voting agreements, registration rights agreements, side letters, and similar arrangements.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B.7</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SAFE and convertible-note conversion mechanics, valuation caps, discount rates, and MFN provisions for outstanding instruments.</w:t>
            </w:r>
          </w:p>
        </w:tc>
      </w:tr>
    </w:tbl>
    <w:p/>
    <w:p>
      <w:r>
        <w:rPr>
          <w:rFonts w:ascii="Times New Roman" w:hAnsi="Times New Roman"/>
          <w:b/>
          <w:i w:val="0"/>
          <w:sz w:val="24"/>
        </w:rPr>
        <w:t xml:space="preserve">Section C — Subsidiaries and Affiliates</w:t>
      </w:r>
    </w:p>
    <w:tbl>
      <w:tblPr>
        <w:tblW w:type="auto" w:w="0"/>
        <w:tblLayout w:type="fixed"/>
        <w:tblLook w:firstColumn="1" w:firstRow="1" w:lastColumn="0" w:lastRow="0" w:noHBand="0" w:noVBand="1" w:val="04A0"/>
      </w:tblPr>
      <w:tblGrid>
        <w:gridCol w:w="4320"/>
        <w:gridCol w:w="4320"/>
      </w:tblGrid>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C.1</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Organizational chart showing the target and all subsidiaries and affiliates, with ownership percentages.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C.2</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Formation documents, certificates of good standing, and material governing documents for each subsidiary.</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C.3</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Intercompany agreements (services, IP, leases, financing) currently in effect.</w:t>
            </w:r>
          </w:p>
        </w:tc>
      </w:tr>
    </w:tbl>
    <w:p/>
    <w:p>
      <w:r>
        <w:rPr>
          <w:rFonts w:ascii="Times New Roman" w:hAnsi="Times New Roman"/>
          <w:b/>
          <w:i w:val="0"/>
          <w:sz w:val="24"/>
        </w:rPr>
        <w:t xml:space="preserve">Section D — Financial and Tax</w:t>
      </w:r>
    </w:p>
    <w:tbl>
      <w:tblPr>
        <w:tblW w:type="auto" w:w="0"/>
        <w:tblLayout w:type="fixed"/>
        <w:tblLook w:firstColumn="1" w:firstRow="1" w:lastColumn="0" w:lastRow="0" w:noHBand="0" w:noVBand="1" w:val="04A0"/>
      </w:tblPr>
      <w:tblGrid>
        <w:gridCol w:w="4320"/>
        <w:gridCol w:w="4320"/>
      </w:tblGrid>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D.1</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Audited financial statements for the past three fiscal years; unaudited interim financials for periods since the last audit.</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D.2</w:t>
            </w:r>
          </w:p>
        </w:tc>
        <w:tc>
          <w:tcPr>
            <w:tcW w:type="dxa" w:w="4320"/>
            <w:tcBorders>
              <w:top w:val="single" w:sz="4" w:color="000000"/>
              <w:left w:val="single" w:sz="4" w:color="000000"/>
              <w:bottom w:val="single" w:sz="4" w:color="000000"/>
              <w:right w:val="single" w:sz="4" w:color="000000"/>
            </w:tcBorders>
          </w:tcPr>
          <w:p>
            <w:pPr>
              <w:jc w:val="left"/>
            </w:pPr>
            <w:r>
              <w:rPr>
                <w:rFonts w:ascii="Times New Roman" w:hAnsi="Times New Roman"/>
                <w:sz w:val="22"/>
              </w:rPr>
              <w:t xml:space="preserve">Federal tax returns for the past 6 years (or</w:t>
            </w:r>
            <w:r>
              <w:rPr>
                <w:rFonts w:ascii="Times New Roman" w:hAnsi="Times New Roman"/>
                <w:sz w:val="22"/>
              </w:rPr>
              <w:t xml:space="preserve"> </w:t>
            </w:r>
            <w:r>
              <w:rPr>
                <w:rFonts w:ascii="Times New Roman" w:hAnsi="Times New Roman"/>
                <w:sz w:val="22"/>
              </w:rPr>
              <w:t xml:space="preserve">years if specified above).</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D.3</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State and local tax returns for the past 6 years in each jurisdiction of meaningful operation.</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D.4</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All tax audit correspondence, examination findings, and ongoing examinations regardless of date.</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D.5</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Tax-sharing agreements, tax-indemnification agreements, and any tax-related schedules from prior acquisitions.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D.6</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Sales-and-use tax economic-nexus analysis under Wayfair, including registration status by state.</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D.7</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Material correspondence with the IRS or state tax authorities regarding rulings, settlements, or contested matters.</w:t>
            </w:r>
          </w:p>
        </w:tc>
      </w:tr>
    </w:tbl>
    <w:p/>
    <w:p>
      <w:r>
        <w:rPr>
          <w:rFonts w:ascii="Times New Roman" w:hAnsi="Times New Roman"/>
          <w:b/>
          <w:i w:val="0"/>
          <w:sz w:val="24"/>
        </w:rPr>
        <w:t xml:space="preserve">Section E — Indebtedness, Liens, and Security Interests</w:t>
      </w:r>
    </w:p>
    <w:tbl>
      <w:tblPr>
        <w:tblW w:type="auto" w:w="0"/>
        <w:tblLayout w:type="fixed"/>
        <w:tblLook w:firstColumn="1" w:firstRow="1" w:lastColumn="0" w:lastRow="0" w:noHBand="0" w:noVBand="1" w:val="04A0"/>
      </w:tblPr>
      <w:tblGrid>
        <w:gridCol w:w="4320"/>
        <w:gridCol w:w="4320"/>
      </w:tblGrid>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E.1</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All loan agreements, credit agreements, indentures, and instruments governing material indebtedness.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E.2</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Schedule of guarantees, letters of credit, and other contingent obligations.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E.3</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UCC searches and lien releases for material assets.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E.4</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Lender consent requirements triggered by change of control.</w:t>
            </w:r>
          </w:p>
        </w:tc>
      </w:tr>
    </w:tbl>
    <w:p/>
    <w:p>
      <w:r>
        <w:rPr>
          <w:rFonts w:ascii="Times New Roman" w:hAnsi="Times New Roman"/>
          <w:b/>
          <w:i w:val="0"/>
          <w:sz w:val="24"/>
        </w:rPr>
        <w:t xml:space="preserve">Section F — Material Contracts</w:t>
      </w:r>
    </w:p>
    <w:tbl>
      <w:tblPr>
        <w:tblW w:type="auto" w:w="0"/>
        <w:tblLayout w:type="fixed"/>
        <w:tblLook w:firstColumn="1" w:firstRow="1" w:lastColumn="0" w:lastRow="0" w:noHBand="0" w:noVBand="1" w:val="04A0"/>
      </w:tblPr>
      <w:tblGrid>
        <w:gridCol w:w="4320"/>
        <w:gridCol w:w="4320"/>
      </w:tblGrid>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F.1</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All contracts with annual revenue or expenditure exceeding </w:t>
              <w:t xml:space="preserve">$100,000</w:t>
              <w:t xml:space="preserve"> or </w:t>
              <w:t xml:space="preserve">5%</w:t>
              <w:t xml:space="preserve"> of gross revenue.</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F.2</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Top 20 customer contracts by revenue, regardless of dollar amount.</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F.3</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Top 20 supplier and vendor contracts by spend, regardless of dollar amount.</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F.4</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All contracts containing exclusivity, most-favored-nation pricing, non-compete, or similar restrictive covenants binding on the target.</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F.5</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All contracts with change-of-control, anti-assignment, or termination-on-acquisition provisions.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F.6</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All material distribution, reseller, channel, or sales-representative agreements.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F.7</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All material partnership, joint venture, alliance, or collaboration agreements.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F.8</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All material settlement and release agreements with ongoing obligations.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F.9</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Forms of standard customer contract, supplier contract, NDA, and any other contract regularly used by the target.</w:t>
            </w:r>
          </w:p>
        </w:tc>
      </w:tr>
    </w:tbl>
    <w:p/>
    <w:p>
      <w:r>
        <w:rPr>
          <w:rFonts w:ascii="Times New Roman" w:hAnsi="Times New Roman"/>
          <w:b/>
          <w:i w:val="0"/>
          <w:sz w:val="24"/>
        </w:rPr>
        <w:t xml:space="preserve">Section G — Real and Personal Property</w:t>
      </w:r>
    </w:p>
    <w:tbl>
      <w:tblPr>
        <w:tblW w:type="auto" w:w="0"/>
        <w:tblLayout w:type="fixed"/>
        <w:tblLook w:firstColumn="1" w:firstRow="1" w:lastColumn="0" w:lastRow="0" w:noHBand="0" w:noVBand="1" w:val="04A0"/>
      </w:tblPr>
      <w:tblGrid>
        <w:gridCol w:w="4320"/>
        <w:gridCol w:w="4320"/>
      </w:tblGrid>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G.1</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Schedule of all owned real property with title reports and material correspondence; if none, a written confirmation that the target owns no real property.</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G.2</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All real property leases, subleases, licenses, and material correspondence; if none, a written confirmation that the target leases no real property.</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G.3</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Schedule of material personal property; for cloud-native targets, a written confirmation identifying the cloud infrastructure provider in lieu of owned hardware.</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G.4</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Equipment leases and material personal property leases.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G.5</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Service-provider arrangements (coworking, virtual-office, residential-address service) used in lieu of a physical headquarters.</w:t>
            </w:r>
          </w:p>
        </w:tc>
      </w:tr>
    </w:tbl>
    <w:p/>
    <w:p>
      <w:r>
        <w:rPr>
          <w:rFonts w:ascii="Times New Roman" w:hAnsi="Times New Roman"/>
          <w:b/>
          <w:i w:val="0"/>
          <w:sz w:val="24"/>
        </w:rPr>
        <w:t xml:space="preserve">Section H — Intellectual Property — Core</w:t>
      </w:r>
    </w:p>
    <w:tbl>
      <w:tblPr>
        <w:tblW w:type="auto" w:w="0"/>
        <w:tblLayout w:type="fixed"/>
        <w:tblLook w:firstColumn="1" w:firstRow="1" w:lastColumn="0" w:lastRow="0" w:noHBand="0" w:noVBand="1" w:val="04A0"/>
      </w:tblPr>
      <w:tblGrid>
        <w:gridCol w:w="4320"/>
        <w:gridCol w:w="4320"/>
      </w:tblGrid>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H.1</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Schedules of all U.S. and foreign patents, patent applications, and provisionals, including title, application/patent number, filing/issue date, status, and beneficial owner.</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H.2</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Schedule of all registered and material unregistered trademarks, including registration number, jurisdiction, and goods/services description.</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H.3</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Schedule of all material copyrights and copyright registrations.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H.4</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Schedule of all domain names owned or registered to the target.</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H.5</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Form of, and complete executed copies of, all Proprietary Information and Inventions Agreements (or equivalent invention-assignment, work-for-hire, and confidentiality agreements) for all current and former employees, founders, officers, contractors, consultants, and advisors who contributed to the development of any material intellectual property. Identify any individuals who contributed material IP and did not execute such an agreement, and describe any subsequent assignments or remediation.</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H.6</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All inbound and outbound IP licenses, technology licenses, and material commercial-software agreements, with each agreement marked or annotated to identify any change-of-control, anti-assignment, termination-on-acquisition, or consent-required provisions. Identify any agreements where third-party consent will be required to consummate the transaction.</w:t>
            </w:r>
          </w:p>
        </w:tc>
      </w:tr>
    </w:tbl>
    <w:p/>
    <w:p>
      <w:r>
        <w:rPr>
          <w:rFonts w:ascii="Times New Roman" w:hAnsi="Times New Roman"/>
          <w:b/>
          <w:i w:val="0"/>
          <w:sz w:val="24"/>
        </w:rPr>
        <w:t xml:space="preserve">Section I — Privacy and Cybersecurity — Core</w:t>
      </w:r>
    </w:p>
    <w:tbl>
      <w:tblPr>
        <w:tblW w:type="auto" w:w="0"/>
        <w:tblLayout w:type="fixed"/>
        <w:tblLook w:firstColumn="1" w:firstRow="1" w:lastColumn="0" w:lastRow="0" w:noHBand="0" w:noVBand="1" w:val="04A0"/>
      </w:tblPr>
      <w:tblGrid>
        <w:gridCol w:w="4320"/>
        <w:gridCol w:w="4320"/>
      </w:tblGrid>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I.1</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Public-facing privacy notices, terms of use, and cookie policies.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I.2</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Internal data-protection and information-security policies, including incident response plan and access-control policies.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I.3</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Schedule of personal-data processing activities, categories of data subjects and personal data, and any DPAs with material processors.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I.4</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Cybersecurity-incident history for the past </w:t>
              <w:t xml:space="preserve">3</w:t>
              <w:t xml:space="preserve"> years, including breach notifications to regulators, customers, or employees.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I.5</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GDPR / CCPA / state-privacy-law compliance documentation, including data-subject-request handling procedures and any DPIA / TIA records.</w:t>
            </w:r>
          </w:p>
        </w:tc>
      </w:tr>
    </w:tbl>
    <w:p/>
    <w:p>
      <w:r>
        <w:rPr>
          <w:rFonts w:ascii="Times New Roman" w:hAnsi="Times New Roman"/>
          <w:b/>
          <w:i w:val="0"/>
          <w:sz w:val="24"/>
        </w:rPr>
        <w:t xml:space="preserve">Section J — Employment, Compensation, and Benefits</w:t>
      </w:r>
    </w:p>
    <w:tbl>
      <w:tblPr>
        <w:tblW w:type="auto" w:w="0"/>
        <w:tblLayout w:type="fixed"/>
        <w:tblLook w:firstColumn="1" w:firstRow="1" w:lastColumn="0" w:lastRow="0" w:noHBand="0" w:noVBand="1" w:val="04A0"/>
      </w:tblPr>
      <w:tblGrid>
        <w:gridCol w:w="4320"/>
        <w:gridCol w:w="4320"/>
      </w:tblGrid>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J.1</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Organizational chart with reporting lines and material compensation tiers.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J.2</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Standard form employment agreement, contractor agreement, and PIIA executed by all employees and material contractors.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J.3</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All employee benefit plans, including 401(k), health, welfare, severance, and any defined-benefit plans, with IRS Form 5500 filings for the past </w:t>
              <w:t xml:space="preserve">3</w:t>
              <w:t xml:space="preserve"> years.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J.4</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Equity incentive plan documents and forms of grant agreement (cross-reference Section B).</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J.5</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Worker-classification analysis distinguishing exempt vs. non-exempt and employee vs. independent contractor; identify any reclassification reviews.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J.6</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Labor disputes, collective-bargaining agreements, and union activity, if applicable.</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J.7</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Severance and retention arrangements with key employees, including any single-trigger or double-trigger acceleration.</w:t>
            </w:r>
          </w:p>
        </w:tc>
      </w:tr>
    </w:tbl>
    <w:p/>
    <w:p>
      <w:r>
        <w:rPr>
          <w:rFonts w:ascii="Times New Roman" w:hAnsi="Times New Roman"/>
          <w:b/>
          <w:i w:val="0"/>
          <w:sz w:val="24"/>
        </w:rPr>
        <w:t xml:space="preserve">Section K — Litigation, Disputes, Investigations</w:t>
      </w:r>
    </w:p>
    <w:tbl>
      <w:tblPr>
        <w:tblW w:type="auto" w:w="0"/>
        <w:tblLayout w:type="fixed"/>
        <w:tblLook w:firstColumn="1" w:firstRow="1" w:lastColumn="0" w:lastRow="0" w:noHBand="0" w:noVBand="1" w:val="04A0"/>
      </w:tblPr>
      <w:tblGrid>
        <w:gridCol w:w="4320"/>
        <w:gridCol w:w="4320"/>
      </w:tblGrid>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K.1</w:t>
            </w:r>
          </w:p>
        </w:tc>
        <w:tc>
          <w:tcPr>
            <w:tcW w:type="dxa" w:w="4320"/>
            <w:tcBorders>
              <w:top w:val="single" w:sz="4" w:color="000000"/>
              <w:left w:val="single" w:sz="4" w:color="000000"/>
              <w:bottom w:val="single" w:sz="4" w:color="000000"/>
              <w:right w:val="single" w:sz="4" w:color="000000"/>
            </w:tcBorders>
          </w:tcPr>
          <w:p>
            <w:pPr>
              <w:jc w:val="left"/>
            </w:pPr>
            <w:r>
              <w:rPr>
                <w:rFonts w:ascii="Times New Roman" w:hAnsi="Times New Roman"/>
                <w:sz w:val="22"/>
              </w:rPr>
              <w:t xml:space="preserve">Schedule of all pending and threatened claims, lawsuits, administrative proceedings, arbitrations, and investigations within the past</w:t>
            </w:r>
            <w:r>
              <w:rPr>
                <w:rFonts w:ascii="Times New Roman" w:hAnsi="Times New Roman"/>
                <w:sz w:val="22"/>
              </w:rPr>
              <w:t xml:space="preserve"> </w:t>
            </w:r>
            <w:r>
              <w:rPr>
                <w:rFonts w:ascii="Times New Roman" w:hAnsi="Times New Roman"/>
                <w:sz w:val="22"/>
              </w:rPr>
              <w:t xml:space="preserve">years (or </w:t>
              <w:t xml:space="preserve">3</w:t>
              <w:t xml:space="preserve"> years if no override specified). Include the parties, forum, claim summary, status, and amount in controversy.</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K.2</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All settlement and release agreements with ongoing obligations regardless of date.</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K.3</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All consent decrees, judgments, injunctions, and similar orders binding on the target regardless of date.</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K.4</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All correspondence with regulatory bodies, government agencies, or self-regulatory organizations regarding investigations, inquiries, settlements, or consent decrees, regardless of date.</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K.5</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Audit response letters from the target's outside counsel for the past </w:t>
              <w:t xml:space="preserve">3</w:t>
              <w:t xml:space="preserve"> years.</w:t>
            </w:r>
          </w:p>
        </w:tc>
      </w:tr>
    </w:tbl>
    <w:p/>
    <w:p>
      <w:r>
        <w:rPr>
          <w:rFonts w:ascii="Times New Roman" w:hAnsi="Times New Roman"/>
          <w:b/>
          <w:i w:val="0"/>
          <w:sz w:val="24"/>
        </w:rPr>
        <w:t xml:space="preserve">Section L — Compliance with Laws, Permits, Licenses</w:t>
      </w:r>
    </w:p>
    <w:tbl>
      <w:tblPr>
        <w:tblW w:type="auto" w:w="0"/>
        <w:tblLayout w:type="fixed"/>
        <w:tblLook w:firstColumn="1" w:firstRow="1" w:lastColumn="0" w:lastRow="0" w:noHBand="0" w:noVBand="1" w:val="04A0"/>
      </w:tblPr>
      <w:tblGrid>
        <w:gridCol w:w="4320"/>
        <w:gridCol w:w="4320"/>
      </w:tblGrid>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L.1</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Schedule of material licenses, permits, registrations, and authorizations required to operate the target's business.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L.2</w:t>
            </w:r>
          </w:p>
        </w:tc>
        <w:tc>
          <w:tcPr>
            <w:tcW w:type="dxa" w:w="4320"/>
            <w:tcBorders>
              <w:top w:val="single" w:sz="4" w:color="000000"/>
              <w:left w:val="single" w:sz="4" w:color="000000"/>
              <w:bottom w:val="single" w:sz="4" w:color="000000"/>
              <w:right w:val="single" w:sz="4" w:color="000000"/>
            </w:tcBorders>
          </w:tcPr>
          <w:p>
            <w:pPr>
              <w:jc w:val="left"/>
            </w:pPr>
            <w:r>
              <w:rPr>
                <w:rFonts w:ascii="Times New Roman" w:hAnsi="Times New Roman"/>
                <w:sz w:val="22"/>
              </w:rPr>
              <w:t xml:space="preserve">Routine regulatory filings and compliance certifications for the past</w:t>
            </w:r>
            <w:r>
              <w:rPr>
                <w:rFonts w:ascii="Times New Roman" w:hAnsi="Times New Roman"/>
                <w:sz w:val="22"/>
              </w:rPr>
              <w:t xml:space="preserve"> </w:t>
            </w:r>
            <w:r>
              <w:rPr>
                <w:rFonts w:ascii="Times New Roman" w:hAnsi="Times New Roman"/>
                <w:sz w:val="22"/>
              </w:rPr>
              <w:t xml:space="preserve">years (or </w:t>
              <w:t xml:space="preserve">3</w:t>
              <w:t xml:space="preserve"> years if no override specified).</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L.3</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Internal compliance program documentation, including code of conduct, training records, and whistleblower hotline records.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L.4</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Any prior compliance investigations, internal audits, or third-party allegations relating to the target's regulated operations.</w:t>
            </w:r>
          </w:p>
        </w:tc>
      </w:tr>
    </w:tbl>
    <w:p/>
    <w:p>
      <w:r>
        <w:rPr>
          <w:rFonts w:ascii="Times New Roman" w:hAnsi="Times New Roman"/>
          <w:b/>
          <w:i w:val="0"/>
          <w:sz w:val="24"/>
        </w:rPr>
        <w:t xml:space="preserve">Section M — Insurance</w:t>
      </w:r>
    </w:p>
    <w:tbl>
      <w:tblPr>
        <w:tblW w:type="auto" w:w="0"/>
        <w:tblLayout w:type="fixed"/>
        <w:tblLook w:firstColumn="1" w:firstRow="1" w:lastColumn="0" w:lastRow="0" w:noHBand="0" w:noVBand="1" w:val="04A0"/>
      </w:tblPr>
      <w:tblGrid>
        <w:gridCol w:w="4320"/>
        <w:gridCol w:w="4320"/>
      </w:tblGrid>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M.1</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Schedule of all material insurance policies, including commercial general liability, D&amp;O, E&amp;O, cyber, employment-practices liability, and any industry-specific policies.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M.2</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Claims history for the past </w:t>
              <w:t xml:space="preserve">3</w:t>
              <w:t xml:space="preserve"> years for each policy type.</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M.3</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Tail-coverage status and renewal terms for any claims-made policies.</w:t>
            </w:r>
          </w:p>
        </w:tc>
      </w:tr>
    </w:tbl>
    <w:p/>
    <w:p>
      <w:r>
        <w:rPr>
          <w:rFonts w:ascii="Times New Roman" w:hAnsi="Times New Roman"/>
          <w:b/>
          <w:i w:val="0"/>
          <w:sz w:val="24"/>
        </w:rPr>
        <w:t xml:space="preserve">Section N — Related-Party Transactions</w:t>
      </w:r>
    </w:p>
    <w:tbl>
      <w:tblPr>
        <w:tblW w:type="auto" w:w="0"/>
        <w:tblLayout w:type="fixed"/>
        <w:tblLook w:firstColumn="1" w:firstRow="1" w:lastColumn="0" w:lastRow="0" w:noHBand="0" w:noVBand="1" w:val="04A0"/>
      </w:tblPr>
      <w:tblGrid>
        <w:gridCol w:w="4320"/>
        <w:gridCol w:w="4320"/>
      </w:tblGrid>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N.1</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Schedule of all transactions, agreements, or relationships between the target and any officer, director, founder, beneficial owner exceeding 5%, or family member of any of the foregoing.</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N.2</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Indebtedness owed by or to insiders.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N.3</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Special-purpose-entity arrangements and any pass-through revenue or expense accounts.</w:t>
            </w:r>
          </w:p>
        </w:tc>
      </w:tr>
    </w:tbl>
    <w:p/>
    <w:p>
      <w:r>
        <w:rPr>
          <w:rFonts w:ascii="Times New Roman" w:hAnsi="Times New Roman"/>
          <w:b/>
          <w:i w:val="0"/>
          <w:sz w:val="24"/>
        </w:rPr>
        <w:t xml:space="preserve">Section O — Tech / SaaS Rider</w:t>
      </w:r>
    </w:p>
    <w:tbl>
      <w:tblPr>
        <w:tblW w:type="auto" w:w="0"/>
        <w:tblLayout w:type="fixed"/>
        <w:tblLook w:firstColumn="1" w:firstRow="1" w:lastColumn="0" w:lastRow="0" w:noHBand="0" w:noVBand="1" w:val="04A0"/>
      </w:tblPr>
      <w:tblGrid>
        <w:gridCol w:w="4320"/>
        <w:gridCol w:w="4320"/>
      </w:tblGrid>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O.1</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Complete open-source-software (OSS) inventory by component, with the license governing each component, whether each component is statically linked, dynamically linked, or used as a service, and whether the resulting product is distributed externally. Include any output from automated OSS-scan tools (e.g., Black Duck, FOSSA, Snyk).</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O.2</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OSS-policy documentation including approval workflows, copyleft / viral-license screening procedures, and any prior OSS license violations or remediation actions.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O.3</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Source-code escrow arrangements with customers or escrow agents, including triggers, release conditions, and current escrow contents.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O.4</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All material hosted-services and IT agreements (cloud hosting, CDN, monitoring, observability, identity, payments), with change-of-control / assignment provisions identified.</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O.5</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Most recent SOC 2 Type II report and ISO 27001 audit results, plus any internal vulnerability scan or penetration test reports for the past </w:t>
              <w:t xml:space="preserve">3</w:t>
              <w:t xml:space="preserve"> years.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O.6</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Data-flow architecture diagrams showing how customer data moves through the target's systems and sub-processors.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O.7</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Customer-facing Service Level Agreements (SLAs), including uptime commitments and credit / refund mechanics for SLA breaches.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O.8</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Security-incident history for the past </w:t>
              <w:t xml:space="preserve">3</w:t>
              <w:t xml:space="preserve"> years (cross-reference Section I.4 for breaches with regulatory reporting obligations).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O.9</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GDPR / CCPA / cross-border data-transfer mechanisms (Standard Contractual Clauses, adequacy decisions, BCRs) where applicable.</w:t>
            </w:r>
          </w:p>
        </w:tc>
      </w:tr>
    </w:tbl>
    <w:p/>
    <w:p>
      <w:r>
        <w:rPr>
          <w:rFonts w:ascii="Times New Roman" w:hAnsi="Times New Roman"/>
          <w:b/>
          <w:i w:val="0"/>
          <w:sz w:val="24"/>
        </w:rPr>
        <w:t xml:space="preserve">Section P — Life Sciences Rider</w:t>
      </w:r>
    </w:p>
    <w:tbl>
      <w:tblPr>
        <w:tblW w:type="auto" w:w="0"/>
        <w:tblLayout w:type="fixed"/>
        <w:tblLook w:firstColumn="1" w:firstRow="1" w:lastColumn="0" w:lastRow="0" w:noHBand="0" w:noVBand="1" w:val="04A0"/>
      </w:tblPr>
      <w:tblGrid>
        <w:gridCol w:w="4320"/>
        <w:gridCol w:w="4320"/>
      </w:tblGrid>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P.1</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Schedule of all clinical trials (current and past), with phase, indication, enrollment, and current status.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P.2</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Investigator's Brochures and clinical-trial protocols for active trials.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P.3</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Serious Adverse Event (SAE) reports filed with the FDA or foreign regulators in the past </w:t>
              <w:t xml:space="preserve">3</w:t>
              <w:t xml:space="preserve"> years.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P.4</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Investigational New Drug (IND), New Drug Application (NDA), Biologics License Application (BLA), and 510(k) / PMA filings, including current status.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P.5</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All correspondence with the FDA, EMA, or other applicable regulatory authorities, including Form 483 observations and Warning Letters, regardless of date.</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P.6</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Manufacturing-site inspection history, including 21 CFR Part 211 / Part 820 compliance records.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P.7</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Controlled-substance registrations with the DEA and any state controlled-substance authorities.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P.8</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CRO (Contract Research Organization) and CMO (Contract Manufacturing Organization) agreements.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P.9</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R&amp;D collaboration, licensing, and partnering agreements (university, government, or industry).</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P.10</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Any Corporate Integrity Agreement (CIA) with HHS-OIG, DOJ, or other federal authorities.</w:t>
            </w:r>
          </w:p>
        </w:tc>
      </w:tr>
    </w:tbl>
    <w:p/>
    <w:p>
      <w:r>
        <w:rPr>
          <w:rFonts w:ascii="Times New Roman" w:hAnsi="Times New Roman"/>
          <w:b/>
          <w:i w:val="0"/>
          <w:sz w:val="24"/>
        </w:rPr>
        <w:t xml:space="preserve">Section Q — Healthcare Provider Rider</w:t>
      </w:r>
    </w:p>
    <w:tbl>
      <w:tblPr>
        <w:tblW w:type="auto" w:w="0"/>
        <w:tblLayout w:type="fixed"/>
        <w:tblLook w:firstColumn="1" w:firstRow="1" w:lastColumn="0" w:lastRow="0" w:noHBand="0" w:noVBand="1" w:val="04A0"/>
      </w:tblPr>
      <w:tblGrid>
        <w:gridCol w:w="4320"/>
        <w:gridCol w:w="4320"/>
      </w:tblGrid>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Q.1</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Provider licensure for each state of operation, including any prior licensure actions, suspensions, or restrictions.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Q.2</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Billing and coding compliance audit results for the past </w:t>
              <w:t xml:space="preserve">3</w:t>
              <w:t xml:space="preserve"> years, including any external audits and any internal RAC / ZPIC review preparation.</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Q.3</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Malpractice claims history for the past </w:t>
              <w:t xml:space="preserve">3</w:t>
              <w:t xml:space="preserve"> years, including tail-coverage status for departing providers.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Q.4</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HIPAA breach logs, OCR correspondence, and any corrective-action plans stemming from privacy or security incidents.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Q.5</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Payer-audit history (Medicare, Medicaid, commercial), recoupment exposure, and current open audits.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Q.6</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Anti-Kickback Statute, Stark Law, and Physician Payment Sunshine Act compliance documentation, including transfer-of-value reporting.</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Q.7</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Telehealth state-licensure compliance, including any reliance on cross-state compacts (e.g., IMLC).</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Q.8</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Provider compensation arrangements that could implicate fair-market-value or commercial-reasonableness analysis.</w:t>
            </w:r>
          </w:p>
        </w:tc>
      </w:tr>
    </w:tbl>
    <w:p/>
    <w:p>
      <w:r>
        <w:rPr>
          <w:rFonts w:ascii="Times New Roman" w:hAnsi="Times New Roman"/>
          <w:b/>
          <w:i w:val="0"/>
          <w:sz w:val="24"/>
        </w:rPr>
        <w:t xml:space="preserve">Section R — Cross-Border / Trade Compliance Rider</w:t>
      </w:r>
    </w:p>
    <w:tbl>
      <w:tblPr>
        <w:tblW w:type="auto" w:w="0"/>
        <w:tblLayout w:type="fixed"/>
        <w:tblLook w:firstColumn="1" w:firstRow="1" w:lastColumn="0" w:lastRow="0" w:noHBand="0" w:noVBand="1" w:val="04A0"/>
      </w:tblPr>
      <w:tblGrid>
        <w:gridCol w:w="4320"/>
        <w:gridCol w:w="4320"/>
      </w:tblGrid>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R.1</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Foreign-subsidiary and branch documentation, including formation documents, governance, and intercompany agreements.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R.2</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Sanctions / OFAC screening procedures, screening tool documentation, and any historical hits or escalations.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R.3</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Export-control classifications (ECCN, USML) for material technologies and products, plus any export licenses or commodity classification rulings.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R.4</w:t>
            </w:r>
          </w:p>
        </w:tc>
        <w:tc>
          <w:tcPr>
            <w:tcW w:type="dxa" w:w="4320"/>
            <w:tcBorders>
              <w:top w:val="single" w:sz="4" w:color="000000"/>
              <w:left w:val="single" w:sz="4" w:color="000000"/>
              <w:bottom w:val="single" w:sz="4" w:color="000000"/>
              <w:right w:val="single" w:sz="4" w:color="000000"/>
            </w:tcBorders>
          </w:tcPr>
          <w:p>
            <w:pPr>
              <w:jc w:val="left"/>
            </w:pPr>
            <w:r>
              <w:rPr>
                <w:rFonts w:ascii="Times New Roman" w:hAnsi="Times New Roman"/>
                <w:sz w:val="22"/>
              </w:rPr>
              <w:t xml:space="preserve">AML / KYC program documentation (where applicable to the target's industry), including written policies and procedures, training records, regulator examination findings, and non-privileged audit/correspondence files. Do not produce any SARs or materials that would reveal a SAR's existence (FinCEN confidentiality rules at 31 CFR 1020.320(e) bar disclosure to counterparties).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R.5</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FCPA compliance program documentation, including risk assessments, training records, third-party-intermediary diligence, and any prior internal investigations or third-party allegations.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R.6</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Government-customer relationships (federal, state, local, or foreign), including contract terms with flow-down compliance obligations and any audit history.</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R.7</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Operations or sales in higher-risk corruption-index jurisdictions; specify each country in </w:t>
              <w:t xml:space="preserve"/>
              <w:t xml:space="preserve">.</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R.8</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 xml:space="preserve">Foreign-investment-screening filings (CFIUS, foreign FDI regimes), including any prior CFIUS reviews of the target or its subsidiaries.</w:t>
            </w:r>
          </w:p>
        </w:tc>
      </w:tr>
    </w:tbl>
    <w:p/>
    <w:p>
      <w:r>
        <w:rPr>
          <w:rFonts w:ascii="Times New Roman" w:hAnsi="Times New Roman"/>
          <w:b/>
          <w:i w:val="0"/>
          <w:sz w:val="24"/>
        </w:rPr>
        <w:t xml:space="preserve">Closing — Response Protocol</w:t>
      </w:r>
    </w:p>
    <w:p>
      <w:pPr>
        <w:jc w:val="both"/>
      </w:pPr>
      <w:r>
        <w:rPr>
          <w:rFonts w:ascii="Times New Roman" w:hAnsi="Times New Roman"/>
          <w:b w:val="0"/>
          <w:i w:val="0"/>
          <w:sz w:val="22"/>
        </w:rPr>
        <w:t xml:space="preserve">This request list is the first round of an iterative diligence production project. The target should:</w:t>
      </w:r>
    </w:p>
    <w:p>
      <w:pPr>
        <w:jc w:val="left"/>
      </w:pPr>
      <w:r>
        <w:rPr>
          <w:rFonts w:ascii="Times New Roman" w:hAnsi="Times New Roman"/>
          <w:b w:val="0"/>
          <w:i w:val="0"/>
          <w:sz w:val="22"/>
        </w:rPr>
        <w:t xml:space="preserve">1. Populate the data room with responsive documents foldered to match this list's section structure.</w:t>
      </w:r>
    </w:p>
    <w:p>
      <w:pPr>
        <w:jc w:val="left"/>
      </w:pPr>
      <w:r>
        <w:rPr>
          <w:rFonts w:ascii="Times New Roman" w:hAnsi="Times New Roman"/>
          <w:b w:val="0"/>
          <w:i w:val="0"/>
          <w:sz w:val="22"/>
        </w:rPr>
        <w:t xml:space="preserve">2. Complete the response columns (Provided / Does Not Exist / Not Applicable / Privileged) for each numbered request.</w:t>
      </w:r>
    </w:p>
    <w:p>
      <w:pPr>
        <w:jc w:val="left"/>
      </w:pPr>
      <w:r>
        <w:rPr>
          <w:rFonts w:ascii="Times New Roman" w:hAnsi="Times New Roman"/>
          <w:b w:val="0"/>
          <w:i w:val="0"/>
          <w:sz w:val="22"/>
        </w:rPr>
        <w:t xml:space="preserve">3. Identify any responses that require additional time and provide an expected completion date.</w:t>
      </w:r>
    </w:p>
    <w:p>
      <w:pPr>
        <w:jc w:val="left"/>
      </w:pPr>
      <w:r>
        <w:rPr>
          <w:rFonts w:ascii="Times New Roman" w:hAnsi="Times New Roman"/>
          <w:b w:val="0"/>
          <w:i w:val="0"/>
          <w:sz w:val="22"/>
        </w:rPr>
        <w:t xml:space="preserve">4. Identify any documents or information that the target intends to withhold on privilege or confidentiality grounds, with the basis for withholding.</w:t>
      </w:r>
    </w:p>
    <w:p>
      <w:pPr>
        <w:jc w:val="left"/>
      </w:pPr>
      <w:r>
        <w:rPr>
          <w:rFonts w:ascii="Times New Roman" w:hAnsi="Times New Roman"/>
          <w:b w:val="0"/>
          <w:i w:val="0"/>
          <w:sz w:val="22"/>
        </w:rPr>
        <w:t xml:space="preserve">5. Provide a single point of contact for clarification questions and follow-up rounds.</w:t>
      </w:r>
    </w:p>
    <w:p>
      <w:pPr>
        <w:jc w:val="both"/>
      </w:pPr>
      <w:r>
        <w:rPr>
          <w:rFonts w:ascii="Times New Roman" w:hAnsi="Times New Roman"/>
          <w:b w:val="0"/>
          <w:i w:val="0"/>
          <w:sz w:val="22"/>
        </w:rPr>
        <w:t xml:space="preserve">Follow-up rounds typically run 5–7 business days after each prior production. Substantive completion typically requires 2–3 rounds. The buyer's diligence team will provide written follow-up requests after each round.</w:t>
      </w:r>
    </w:p>
    <w:p>
      <w:pPr>
        <w:jc w:val="both"/>
      </w:pPr>
      <w:r>
        <w:rPr>
          <w:rFonts w:ascii="Times New Roman" w:hAnsi="Times New Roman"/>
          <w:b w:val="0"/>
          <w:i w:val="0"/>
          <w:sz w:val="22"/>
        </w:rPr>
        <w:t xml:space="preserve">Confidentiality and privilege are governed by the parties' executed confidentiality agreement.</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