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York</w:t>
      </w:r>
    </w:p>
    <w:p>
      <w:pPr>
        <w:spacing w:before="0" w:after="120"/>
      </w:pPr>
      <w:r>
        <w:rPr>
          <w:i/>
          <w:color w:val="444444"/>
        </w:rPr>
        <w:t xml:space="preserve">A clause-by-clause reviewer checklist for New York employee restrictive covenant agreements — confidentiality, non-solicits, non-competes, and non-disparagement under the common-law BDO Seidman reasonableness test and New York case law.</w:t>
      </w:r>
    </w:p>
    <w:p>
      <w:pPr>
        <w:spacing w:before="0" w:after="240"/>
      </w:pPr>
      <w:r>
        <w:rPr>
          <w:color w:val="666666"/>
          <w:sz w:val="18"/>
          <w:szCs w:val="18"/>
        </w:rPr>
        <w:t xml:space="preserve">By Steven Obiajulu, J.D. Last reviewed 2026-06-11. License: CC BY 4.0. https://openagreements.org/legal/non-compete/new-york-review-checklist</w:t>
      </w:r>
    </w:p>
    <w:p>
      <w:pPr>
        <w:keepNext/>
        <w:spacing w:before="360" w:after="160"/>
      </w:pPr>
      <w:r>
        <w:rPr>
          <w:b/>
          <w:sz w:val="28"/>
          <w:szCs w:val="28"/>
        </w:rPr>
        <w:t xml:space="preserve">1. Parties and cover-term identification</w:t>
      </w:r>
    </w:p>
    <w:p>
      <w:pPr>
        <w:spacing w:before="0" w:after="120"/>
      </w:pPr>
      <w:r>
        <w:t xml:space="preserve">Work through every item the way a New York court would: there is no general non-compete statute here, so a covenant stands or falls on the </w:t>
      </w:r>
      <w:r>
        <w:rPr>
          <w:i/>
        </w:rPr>
        <w:t xml:space="preserve">BDO Seidman</w:t>
      </w:r>
      <w:r>
        <w:t xml:space="preserve"> reasonableness test, the short list of interests New York treats as protectable, and the employer's own drafting restraint — because a court that finds overreach has no obligation to trim the clause down. For the question-by-question legal analysis behind these items, see the </w:t>
      </w:r>
      <w:r>
        <w:t xml:space="preserve">New York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trade secrets, customer relationships, and goodwill the covenant claims to protect. New York ties enforceability to a legitimate interest of the employer, so a covenant signed with a parent or affiliate that holds none of the relationships at stake starts the reasonableness analysis with a gap it may never close.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and in New York the date does a second job: it marks whether the covenant came at hire or mid-employment, which determines whether the consideration question even arises. Reasonableness in time is part of the enforceability test, and a duration nobody can compute is a duration nobody can defend.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more care than usual. One of New York's few protectable interests is competition by an employee whose services are unique or extraordinary, and courts decide that question case by case from the employee's actual relationship to the business — the stated title and duties are the first evidence on the point.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and read any non-New York selection for a New York-based worker skeptically. The Court of Appeals has refused to apply a chosen foreign law to a restrictive covenant where doing so would violate New York public policy, so the clause names a starting point — not an escape hatch.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New York's oldest limit: an employee's knowledge of the employer's ordinary, internal operations is not protectable absent a trade secret or a breach of trust. A definition that quietly absorbs general know-how and routine business information claims an interest the courts have refused to recognize for half a century.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concrete trade-secret definition matters here because trade secrets and confidential customer information head the short list of interests that can justify a New York restraint. The sharper the definition, the easier it is to show the covenant guards something the law actually protects rather than competition in general.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every duration auditable, and in New York duration is not housekeeping: reasonableness in time period is part of the enforceability framework itself, so a court asked to enforce the covenant will be measuring exactly the number this definition controls.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lives — the clients served, the secrets exploitable — not to the employer's footprint. Geographic scope is one of the express reasonableness factors, and an everywhere-we-operate territory invites a finding of overbreadth that a New York court has discretion to leave unrepaired.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developed or serviced during a stated look-back window. The Court of Appeals has held a customer restraint overbroad precisely because it reached clients the employee had never met, did not know about, and had done no work for — an entire-book-of-business definition recreates that losing posture on day one.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the look-back window. New York treats employee non-recruitment clauses as lighter restraints than non-competes, and the narrower the class, the easier it is to keep that favorable framing instead of drifting toward a workforce-wide mobility ban.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and make them New York's interests. The recognized categories are misappropriation of trade secrets or confidential customer information, competition by an employee whose services are unique or extraordinary, and client goodwill created and maintained at the employer's expense. A recital built on anything else decorates the agreement without supporting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stretching to anything the employer might someday do reads as a restraint on ordinary competition — the one thing New York will not protect — and an overreaching definition undercuts the good-faith showing the employer needs if it ever asks a court to enforce the covenant in part.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bars index funds and ordinary public shares adds hardship on the employee without protecting any recognized interest — needless weight on the very prong New York courts use to strike covenants down.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instead of defining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New York's goodwill cases draw the controlling line between actively soliciting former customers and accepting business that arrives without prompting — a definition that also captures passive acceptance pushes the clause across that line and toward the broader restraint courts scrutinize hardest.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handles resignation, dismissal, and expiration of a fixed term the same way. The restricted period runs from this event, and in New York the manner of separation can color the whole analysis — an undefined trigger invites exactly the fact-by-fact dispute the definition exists to prevent.</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signing-versus-start-date question carries real consequence in New York. For a covenant signed mid-employment, the consideration can be the employer's forbearance from firing an at-will worker — but that forbearance counts only if employment then continues for a substantial period, and it fails as illusory if the worker is dismissed soon after. The acknowledgement should pin down when the covenant was signed and what consideration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York rule requires it, but it earns its place anyway: partial enforcement of an overbroad covenant depends on the employer showing it did not use coercive bargaining power, and a documented chance to seek advice before signing is inexpensive evidence on exactly that point.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federal law defines the right. The New York angle: trade secrets sit at the top of the short list of interests that can support a restrictive covenant at all, so an agreement that lets its own trade-secret protection lapse on a calendar date saws at the branch the covenants are sitting 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New York already declines to protect general knowledge and routine operational information, and a perpetual lid on non-secret material reads as the kind of overreach that costs an employer the benefit of the doubt when reasonableness is measured.</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New York: omit the immunity notice and the employer forfeits exemplary damages and attorney fees in a later trade-secret action against the worker. In a state where trade secrets are often the only interest holding the covenant up, giving away those remedies is self-sabotage.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regardless of what state law would tolerate.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anywhere, and a clause that pretends otherwise hands opposing counsel an easy overbreadth exhibit.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New York enforcement so often turns on whether real trade secrets or confidential customer information were at risk, the certification is the cleanest contemporaneous record if protected material later surfaces at a competitor — and its absence weakens the very interest the covenants depend on.</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best-positioned covenant in the New York family: courts treat non-recruitment clauses as inherently more reasonable and less restrictive than non-competes, and have enforced a reasonable one even while refusing the non-compete beside it. Keep it inside the Covered Employees class and the Restricted Period to preserve that favorable framing.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Enforceable in New York when tied to relationships the employee actually serviced — and overbroad when it is not. The Court of Appeals struck a clause reaching clients the employee never met or worked for, so if this covenant appears, run it through the customers-actually-served gate at the end of this checklist before weighing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unprompted — a restraint on accepting business, not just chasing it. New York's own goodwill doctrine stops short of that line even for someone who sold the business, permitting unsolicited patronage while banning solicitation; a clause demanding more from a mere employee should be treated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full non-compete appears, it carries the heaviest burden in the New York suite: reasonableness on every prong — no broader than the legitimate interest requires, no undue hardship, no injury to the public — with any single failure invalidating the covenant. Route the review straight through the doctrine gates at the end of this checklist before evaluating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New York pays for that restraint twice: a named list is strong evidence the covenant is no greater than required, and it builds the good-faith, no-overreach record an employer must show before a court will even consider enforcing an imperfect covenant in part.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ask which recognized New York interest an investment restriction actually protects, because hardship without a protectable interest behind it is how covenants fail here.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stay outside the clause. Federal labor law polices overbroad versions in every state, and New York adds no special shelter for an aggressive one.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plainly how the agreement treats physicians. New York's one industry-specific statutory shield covers broadcast employees, not doctors, so a physician covenant is measured under the same reasonableness framework as everyone else's — including the prong asking whether the restraint injures the public, which is where patient access arguments live. Spell out the treatment rather than leaving it to inference.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It earns extra value on New York intake: an incoming covenant signed under another state's law may not survive New York's public-policy screen, and the representation forces that conversation before the first customer call instead of in a preliminary-injunction brief.</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New York-shaped cost: warning a new employer off the worker on the strength of an overbroad covenant is the kind of aggressive enforcement conduct that undercuts the good-faith record partial enforcement depends on, and it courts tortious-interference exposure besides. If the clause appears, condition any outreach on a covenant the employer genuinely believes survives the reasonableness test.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New York question. No controlling decision blesses automatic tolling, and because duration is itself a reasonableness factor, an open-ended extension can push an otherwise defensible covenant past the line. Draft any extension narrowly and time-limited, and note that pending legislation would cap permissible non-competes at one year if it ever becomes law.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the recital is not the showing. In New York, injunctive enforcement absent trade secrets typically rides on services that are genuinely special, unique, or extraordinary, and no boilerplate paragraph manufactures that fact.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American Rule applies if the agreement is silent. Check that any fee-shifting is mutual and prevailing-party based — a one-way employer fee clause layered onto an aggressive covenant reads as exactly the coercive posture that costs employers the partial-enforcement safety valve.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Partial enforcement is not a safety net</w:t>
      </w:r>
      <w:r>
        <w:t xml:space="preserve"> — Avoid (SHOULD NOT)</w:t>
      </w:r>
    </w:p>
    <w:p>
      <w:pPr>
        <w:spacing w:before="0" w:after="120"/>
        <w:ind w:left="540"/>
      </w:pPr>
      <w:r>
        <w:t xml:space="preserve">Read the severability clause as a risk signal, not insurance. New York rejects automatically voiding every overbroad covenant, but a court will trim one to reasonable scope only when the employer shows it did not overreach, did not lean on dominant bargaining power, and sought in good faith to protect a legitimate interest — meaning the covenant drafted aggressively enough to need rescue is the one least likely to get it. And where no legitimate interest exists at all, there is nothing to sever. Size duration, geography, and activity to the actual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In New York the discipline matters because each surviving restraint must independently pass the reasonableness test; a bundled survival clause is where an unexamined duration hides until an adversary finds 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New York wrinkle: the covenant's force comes from the original employer's protectable interests — its secrets, its customer goodwill — so an assignee inherits the restraint only as far as those interests genuinely travel with the deal. An assignment clause moves the covenant; it cannot mint a new interest to support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Choice of law tested against New York policy</w:t>
      </w:r>
      <w:r>
        <w:t xml:space="preserve"> — Avoid (SHOULD NOT)</w:t>
      </w:r>
    </w:p>
    <w:p>
      <w:pPr>
        <w:spacing w:before="0" w:after="120"/>
        <w:ind w:left="540"/>
      </w:pPr>
      <w:r>
        <w:t xml:space="preserve">The agreement should not pick another state's law expecting it to displace New York's limits for a New York-based worker. The Court of Appeals has refused to apply a chosen foreign law to a former employee's restrictive covenant where that law was employer-favorable enough to offend New York public policy, and pending legislation would go further by voiding avoidance-purposed choice-of-law and venue clauses outright. The clause should still name governing law, venue, and process — just verify it was chosen for administration, not escape.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New York consequence tucked inside: any amendment that adds or expands a covenant mid-employment re-opens the consideration question, since continued employment supports the new promise only if the relationship then lasts a substantial period. Review the amendment mechanics so a routine refresh does not quietly create a covenant with no consideration behind it.</w:t>
      </w:r>
    </w:p>
    <w:p>
      <w:pPr>
        <w:keepNext/>
        <w:spacing w:before="360" w:after="160"/>
      </w:pPr>
      <w:r>
        <w:rPr>
          <w:b/>
          <w:sz w:val="28"/>
          <w:szCs w:val="28"/>
        </w:rPr>
        <w:t xml:space="preserve">19. New York doctrine gates</w:t>
      </w:r>
    </w:p>
    <w:p>
      <w:pPr>
        <w:spacing w:before="0" w:after="120"/>
      </w:pPr>
      <w:r>
        <w:t xml:space="preserve">The six items below exist only on this New York page: they implement the common-law reasonableness gate, the legitimate-interest tether, the customers-actually-served limit, the consideration rule for mid-employment covenants, the broadcast-employee statute, and the goodwill doctrine for sale-of-business covenants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Reasonableness on every prong</w:t>
      </w:r>
      <w:r>
        <w:t xml:space="preserve"> — Required (MUST)</w:t>
      </w:r>
    </w:p>
    <w:p>
      <w:pPr>
        <w:spacing w:before="0" w:after="120"/>
        <w:ind w:left="540"/>
      </w:pPr>
      <w:r>
        <w:t xml:space="preserve">Run the non-compete through all three prongs of New York's controlling test: no greater than required to protect the employer's legitimate interest, no undue hardship on the employee, and no injury to the public — with the Attorney General's guidance adding reasonableness in time period and geographic scope. One failed prong invalidates the covenant, so the review is conjunctive: the clause must clear every gate, not most of them. </w:t>
      </w:r>
    </w:p>
    <w:p>
      <w:pPr>
        <w:keepNext/>
        <w:spacing w:before="200" w:after="80"/>
      </w:pPr>
      <w:r>
        <w:rPr>
          <w:rFonts w:ascii="Segoe UI Symbol" w:hAnsi="Segoe UI Symbol"/>
        </w:rPr>
        <w:t xml:space="preserve">☐  </w:t>
      </w:r>
      <w:r>
        <w:rPr>
          <w:b/>
        </w:rPr>
        <w:t xml:space="preserve">19.2  </w:t>
      </w:r>
      <w:r>
        <w:rPr>
          <w:b/>
        </w:rPr>
        <w:t xml:space="preserve">A real protectable interest behind the restraint</w:t>
      </w:r>
      <w:r>
        <w:t xml:space="preserve"> — Required (MUST)</w:t>
      </w:r>
    </w:p>
    <w:p>
      <w:pPr>
        <w:spacing w:before="0" w:after="120"/>
        <w:ind w:left="540"/>
      </w:pPr>
      <w:r>
        <w:t xml:space="preserve">Identify which recognized interest each covenant actually protects: misappropriation of trade secrets or confidential customer information, competition by an employee whose services were genuinely unique or extraordinary, or client goodwill built at the employer's expense. Knowledge of ordinary internal operations does not qualify, and the unique-services category demands more than that the employee was excellent or valuable. A covenant with no recognized interest behind it is unenforceable outright — there is nothing for a court to trim. </w:t>
      </w:r>
    </w:p>
    <w:p>
      <w:pPr>
        <w:keepNext/>
        <w:spacing w:before="200" w:after="80"/>
      </w:pPr>
      <w:r>
        <w:rPr>
          <w:rFonts w:ascii="Segoe UI Symbol" w:hAnsi="Segoe UI Symbol"/>
        </w:rPr>
        <w:t xml:space="preserve">☐  </w:t>
      </w:r>
      <w:r>
        <w:rPr>
          <w:b/>
        </w:rPr>
        <w:t xml:space="preserve">19.3  </w:t>
      </w:r>
      <w:r>
        <w:rPr>
          <w:b/>
        </w:rPr>
        <w:t xml:space="preserve">Customer non-solicit limited to customers actually served</w:t>
      </w:r>
      <w:r>
        <w:t xml:space="preserve"> — Avoid (SHOULD NOT)</w:t>
      </w:r>
    </w:p>
    <w:p>
      <w:pPr>
        <w:spacing w:before="0" w:after="120"/>
        <w:ind w:left="540"/>
      </w:pPr>
      <w:r>
        <w:t xml:space="preserve">The customer non-solicit should not reach clients the employee never met, did not know about, and did no work for — the precise formulation the Court of Appeals held overbroad. Confine the class to relationships the employee developed or serviced through work for the employer: that is the goodwill interest the law recognizes, and staying inside it preserves the employer's path to partial enforcement if some residual overbreadth surfaces later. </w:t>
      </w:r>
    </w:p>
    <w:p>
      <w:pPr>
        <w:keepNext/>
        <w:spacing w:before="200" w:after="80"/>
      </w:pPr>
      <w:r>
        <w:rPr>
          <w:rFonts w:ascii="Segoe UI Symbol" w:hAnsi="Segoe UI Symbol"/>
        </w:rPr>
        <w:t xml:space="preserve">☐  </w:t>
      </w:r>
      <w:r>
        <w:rPr>
          <w:b/>
        </w:rPr>
        <w:t xml:space="preserve">19.4  </w:t>
      </w:r>
      <w:r>
        <w:rPr>
          <w:b/>
        </w:rPr>
        <w:t xml:space="preserve">Real consideration for mid-employment covenants</w:t>
      </w:r>
      <w:r>
        <w:t xml:space="preserve"> — Required (MUST)</w:t>
      </w:r>
    </w:p>
    <w:p>
      <w:pPr>
        <w:spacing w:before="0" w:after="120"/>
        <w:ind w:left="540"/>
      </w:pPr>
      <w:r>
        <w:t xml:space="preserve">For a covenant signed after employment began, verify what the worker received. Continued at-will employment can carry the promise — forbearance from discharge is a legal detriment — but only if the relationship in fact continues for a substantial period afterward; a worker dismissed soon after signing received illusory forbearance and the consideration fails. Fresh, identifiable consideration such as a raise, promotion, or bonus does not depend on after-the-fact tenure and is the safer record. </w:t>
      </w:r>
    </w:p>
    <w:p>
      <w:pPr>
        <w:keepNext/>
        <w:spacing w:before="200" w:after="80"/>
      </w:pPr>
      <w:r>
        <w:rPr>
          <w:rFonts w:ascii="Segoe UI Symbol" w:hAnsi="Segoe UI Symbol"/>
        </w:rPr>
        <w:t xml:space="preserve">☐  </w:t>
      </w:r>
      <w:r>
        <w:rPr>
          <w:b/>
        </w:rPr>
        <w:t xml:space="preserve">19.5  </w:t>
      </w:r>
      <w:r>
        <w:rPr>
          <w:b/>
        </w:rPr>
        <w:t xml:space="preserve">No post-employment non-compete for broadcast employees</w:t>
      </w:r>
      <w:r>
        <w:t xml:space="preserve"> — Prohibited (MUST NOT)</w:t>
      </w:r>
    </w:p>
    <w:p>
      <w:pPr>
        <w:spacing w:before="0" w:after="120"/>
        <w:ind w:left="540"/>
      </w:pPr>
      <w:r>
        <w:t xml:space="preserve">If the worker is a broadcast employee, the agreement must not impose a post-employment non-compete at all: the Labor Law bars a broadcasting-industry employer from requiring, as a condition of employment, that the employee refrain from working in a specified area, for a period of time, or for a particular employer or industry after the job ends, and a violating employer is liable for damages, fees, and costs. The statute leaves in-term restraints alone — the ban starts where the employment stops. </w:t>
      </w:r>
    </w:p>
    <w:p>
      <w:pPr>
        <w:keepNext/>
        <w:spacing w:before="200" w:after="80"/>
      </w:pPr>
      <w:r>
        <w:rPr>
          <w:rFonts w:ascii="Segoe UI Symbol" w:hAnsi="Segoe UI Symbol"/>
        </w:rPr>
        <w:t xml:space="preserve">☐  </w:t>
      </w:r>
      <w:r>
        <w:rPr>
          <w:b/>
        </w:rPr>
        <w:t xml:space="preserve">19.6  </w:t>
      </w:r>
      <w:r>
        <w:rPr>
          <w:b/>
        </w:rPr>
        <w:t xml:space="preserve">Sale-of-business covenants and the implied no-solicit duty</w:t>
      </w:r>
      <w:r>
        <w:t xml:space="preserve"> — Recommended (SHOULD)</w:t>
      </w:r>
    </w:p>
    <w:p>
      <w:pPr>
        <w:spacing w:before="0" w:after="120"/>
        <w:ind w:left="540"/>
      </w:pPr>
      <w:r>
        <w:t xml:space="preserve">Where the covenant arises from a business sale, review it against the doctrine that already binds the seller: New York implies a covenant barring a seller of goodwill from improperly soliciting former clients — a permanent duty, but a narrower one than an express non-compete, leaving the seller free to accept patronage that arrives unprompted. Keep that solicitation line explicit in the express clause, and note that even the pending statutory ban would preserve this more favored category for qualifying owners. </w:t>
      </w:r>
    </w:p>
    <w:p>
      <w:pPr>
        <w:spacing w:before="360" w:after="0"/>
      </w:pPr>
      <w:r>
        <w:rPr>
          <w:color w:val="666666"/>
          <w:sz w:val="16"/>
          <w:szCs w:val="16"/>
        </w:rPr>
        <w:t xml:space="preserve">Steven Obiajulu, J.D. edits this review checklist for New York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