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Michigan</w:t>
      </w:r>
    </w:p>
    <w:p>
      <w:pPr>
        <w:spacing w:before="0" w:after="120"/>
      </w:pPr>
      <w:r>
        <w:rPr>
          <w:i/>
          <w:color w:val="444444"/>
        </w:rPr>
        <w:t xml:space="preserve">A clause-by-clause reviewer checklist for Michigan employee restrictive covenant agreements — confidentiality, non-solicits, non-competes, and non-disparagement under MCL § 445.774a's reasonable-competitive-business-interest test and scope limits.</w:t>
      </w:r>
    </w:p>
    <w:p>
      <w:pPr>
        <w:spacing w:before="0" w:after="240"/>
      </w:pPr>
      <w:r>
        <w:rPr>
          <w:color w:val="666666"/>
          <w:sz w:val="18"/>
          <w:szCs w:val="18"/>
        </w:rPr>
        <w:t xml:space="preserve">By Steven Obiajulu, J.D. Last reviewed 2026-06-12. License: CC BY 4.0. https://openagreements.org/legal/non-compete/michigan-review-checklist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Michigan court would: the statute permits an employee covenant only when it protects a reasonable competitive business interest and stays reasonable in duration, geography, and the line of business it restricts, and a court asked to enforce more than that has discretion to trim the covenant — or to decline. For the question-by-question legal analysis behind these items, see the </w:t>
      </w:r>
      <w:r>
        <w:t xml:space="preserve">Michigan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competitive business interest the covenant claims to protect. Michigan tests the covenant against the employer's reasonable competitive business interests, so a covenant signed with a parent or affiliate that owns neither the customer relationships nor the confidential information starts the analysis on the wrong foot.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 and the reasonableness of every duration — runs from a defined start date. An undated agreement also obscures whether the covenant was signed at hire or mid-employment, which is exactly the fact the consideration analysis later turns on.</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duties: they are the evidence of what confidential information and customer relationships the worker actually touches, and therefore of whether the covenant protects against an unfair competitive advantage or merely blocks ordinary competition.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Restrictive-covenant law is jurisdiction-sensitive, and the governing-law and forum choices decide which framework the rest of this checklist is tested under — the forum mechanics get their own item near the end of the page.</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the Michigan Supreme Court's measuring stick: a covenant is enforceable to the extent it reasonably protects the employer's confidential information, and unenforceable to the extent it reaches further. A definition that sweeps in everything the worker ever learned converts the protectable core into an overbreadth problem.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and aligned with the statutory definition: information deriving independent economic value from not being generally known, subject to reasonable secrecy efforts. The separate term is what lets trade-secret obligations run longer than ordinary confidentiality and what connects the agreement to the trade-secret act's remedies.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statute's reasonableness requirement. Michigan sets no numeric cap, so the question is always whether this duration is justified by this interest — a question that cannot be answered about a period scattered across clauses.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interest actually operates. Michigan's leading overbreadth decision involved a restriction with no limit on duration or geography, and the court refused to treat the employer's preference as an unlimited right — open-ended territory language is the most visible mark of an unreasonable covenant.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learned confidential information about during a stated look-back window. Customer relationships are a recognized competitive business interest, but an entire-book-of-business definition protects the employer from competition itself rather than from an unfair advantage.</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A workforce-wide definition turns a modest restraint into a hiring ban and invites the same reasonableness scrutiny the covenants face.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 confidential information, customer relationships, trade secrets — because the whole Michigan analysis keys to whether the covenant protects a reasonable competitive business interest. Recitals about competition in the abstract describe the thing the covenant may not protect against.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 statute requires the type of employment or line of business restricted to be reasonable, and that limit does its work through this definition — anything-we-might-someday-do language fails it.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percentage. A clause that technically forbids index funds and ordinary public shares restrains far more than any competitive business interest requires — gratuitous overbreadth a reviewer should not let ride.</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so enforcement does not become a fact-by-fact dispute over who called whom. A definition limited to initiating contact is the narrower, more defensible shape; one that also captures passively receiving inquiries widens the restraint and the reasonableness exposure with it.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Every restricted-period clock runs from this event, and an ambiguous trigger leaves the covenant's duration — the first thing a Michigan court measures — indeterminate.</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timing acknowledgement should record whether the covenant came at hire or mid-employment and what the worker received for signing. Michigan accepts continued employment as consideration only in a genuine at-will setting — the leading case held a mid-employment covenant void because the workers were just-cause employees, so the recital should also document the employment status it relies on.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Michigan statute demands it, but the acknowledgement earns its keep in onboarding packets: the Michigan Supreme Court recently subjected a term buried in an adhesion-style hiring agreement to reasonableness review, and evidence the worker had a real chance to get advice cuts against the take-it-or-leave-it characterization.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federal and Michigan law both key the right to continued secrecy, not to a contract year. A fixed expiry on trade-secret protection reads as a concession that the information stops being secret on schedule.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Michigan enforces confidentiality-based restraints only to the extent of reasonable protection, and a perpetual lid on non-secret information is the kind of further reach the enforceability line cuts off.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Michigan: omit the immunity notice and the employer forfeits exemplary damages and attorney fees in a later federal trade-secret suit against the worker. For an agreement whose strongest protectable interest is often the trade secrets themselves, that is an expensive omission.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override a subpoena; the carve-out plus notice procedure keeps the worker compliant without putting the clause itself in question.</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The certification doubles as evidence of the reasonable secrecy efforts trade-secret status depends on, and it is the cleanest contemporaneous record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least scrutinized covenant in the family when kept inside the Covered Employees class and the Restricted Period. Michigan authority on these clauses is thin, so the safe review posture is the general one: a clause that reads as a workforce-wide hiring ban draws the same reasonableness fire as a non-compete.</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naturally aligned with the interests Michigan protects: customer relationships and the confidential information behind them. Keep it scoped to Covered Customers for the Restricted Period — a non-solicit that follows every customer the employer has ever billed protects against competition, not unfair advantage.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the customer's choice as much as the worker's conduct. The leading Michigan overbreadth case faulted exactly that move, holding the employer has no unlimited right to restrict the business choices of its clients, so treat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Michigan permits a true non-compete, but only on the statute's terms: it must protect a reasonable competitive business interest and stay reasonable in duration, geography, and the line of business restricted. If the clause appears, route the review straight through the Michigan statutory gates at the end of this checklist before evaluating any of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 named list is strong evidence the restraint targets an unfair advantage rather than competition at large — and it spares the employer from asking a court to exercise narrowing discretion it may withhold.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untethered from any competitive business interest is the hardest clause in the family to defend as reasonable.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Michigan's position plainly: there is no categorical physician rule — physician covenants run through the ordinary reasonable-competitive-business-interest test, and the leading case upheld one. The distinctive Michigan issue is proof, not validity: the physician-patient privilege blocks discovery of nonparty patient information, so a medical employer's enforcement plan has to rest on non-privileged evidence of diversion.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protects the employer against tortious-interference exposure from a prior employer and surfaces an inbound covenant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Notice provisions can support enforcement, but a warning letter built on a covenant a court later narrows or declines to enforce creates its own tortious-interference sensitivity — if the clause appears, condition any disclosure on the covenant as it would actually be enforced.</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Michigan question. The statute's remedial text authorizes a court to limit an unreasonable covenant, not to expand one, and any extension must still clear the reasonableness test courts apply as a question of law; a clause converting a fixed restraint into an open-ended one as litigation drags is exactly the overbreadth the framework targets.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The recital supports the element without deciding it — a Michigan court still measures the underlying covenant against the reasonableness framework before restraining anyone.</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non-compete statute itself provides no fee award. Worth checking against the trade-secret overlay: Michigan's trade-secret act lets a court shift fees for bad-faith claims or willful and malicious misappropriation, relief that runs in both directions and that a contractual fee clause should not contradict.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narrowing</w:t>
      </w:r>
      <w:r>
        <w:t xml:space="preserve"> — Avoid (SHOULD NOT)</w:t>
      </w:r>
    </w:p>
    <w:p>
      <w:pPr>
        <w:spacing w:before="0" w:after="120"/>
        <w:ind w:left="540"/>
      </w:pPr>
      <w:r>
        <w:t xml:space="preserve">Read the severability clause as housekeeping, not a strategy. Michigan's statute lets a court limit an unreasonable covenant and enforce it as limited, and the case law confirms the modification power — but the statute says a court may do this, never that it must, so an agreement drafted broad in reliance on judicial trimming is betting the covenant on a discretionary rescue. The defensible posture is scope, geography, and duration sized to the protectable interest from the outset.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A bundled survival clause is where an unexamined duration hides, and in Michigan every duration that survives is one the reasonableness test will eventually measure.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assignee inherits the covenant as drafted: whoever ends up enforcing must still tie the restraint to a reasonable competitive business interest the successor actually holds.</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forum stated</w:t>
      </w:r>
      <w:r>
        <w:t xml:space="preserve"> — Recommended (SHOULD)</w:t>
      </w:r>
    </w:p>
    <w:p>
      <w:pPr>
        <w:spacing w:before="0" w:after="120"/>
        <w:ind w:left="540"/>
      </w:pPr>
      <w:r>
        <w:t xml:space="preserve">Specify governing law, venue, and dispute process — and expect the forum clause to do real work in Michigan. The Sixth Circuit held a non-compete's Michigan forum-selection clause valid and enforceable under Michigan law, and Michigan courts apply Michigan law to decide a forum clause's effect even when the contract picks another state's law for the merits, so the two clauses should be drafted as a coherent pair rather than copied from different forms.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Michigan-flavored check: when the covenant rides inside a bundled onboarding packet, the Michigan Supreme Court has subjected terms in adhesion-style hiring agreements to reasonableness review. The merger clause should make clear exactly which signed document carries the covenant and what was exchanged for it. </w:t>
      </w:r>
    </w:p>
    <w:p>
      <w:pPr>
        <w:keepNext/>
        <w:spacing w:before="360" w:after="160"/>
      </w:pPr>
      <w:r>
        <w:rPr>
          <w:b/>
          <w:sz w:val="28"/>
          <w:szCs w:val="28"/>
        </w:rPr>
        <w:t xml:space="preserve">19. Michigan statutory gates (MCL § 445.774a)</w:t>
      </w:r>
    </w:p>
    <w:p>
      <w:pPr>
        <w:spacing w:before="0" w:after="120"/>
      </w:pPr>
      <w:r>
        <w:t xml:space="preserve">The five items below exist only on this Michigan page: they implement the statute's reasonable-competitive-business-interest requirement and its scope limits, the case-law boundaries on general knowledge and consideration, and the separate antitrust standard that governs covenants between businesses.</w:t>
      </w:r>
    </w:p>
    <w:p>
      <w:pPr>
        <w:keepNext/>
        <w:spacing w:before="200" w:after="80"/>
      </w:pPr>
      <w:r>
        <w:rPr>
          <w:rFonts w:ascii="Segoe UI Symbol" w:hAnsi="Segoe UI Symbol"/>
        </w:rPr>
        <w:t xml:space="preserve">☐  </w:t>
      </w:r>
      <w:r>
        <w:rPr>
          <w:b/>
        </w:rPr>
        <w:t xml:space="preserve">19.1  </w:t>
      </w:r>
      <w:r>
        <w:rPr>
          <w:b/>
        </w:rPr>
        <w:t xml:space="preserve">Protectable interest behind the non-compete</w:t>
      </w:r>
      <w:r>
        <w:t xml:space="preserve"> — Required (MUST)</w:t>
      </w:r>
    </w:p>
    <w:p>
      <w:pPr>
        <w:spacing w:before="0" w:after="120"/>
        <w:ind w:left="540"/>
      </w:pPr>
      <w:r>
        <w:t xml:space="preserve">The covenant survives only if it protects a reasonable competitive business interest — which means protecting the employer against the worker gaining an unfair advantage in competition, not insulating the employer from competition itself. Identify the specific interest in the document: confidential information, customer relationships, or trade secrets. A covenant that recites competition alone fails the test even though the statute permits non-competes. </w:t>
      </w:r>
    </w:p>
    <w:p>
      <w:pPr>
        <w:keepNext/>
        <w:spacing w:before="200" w:after="80"/>
      </w:pPr>
      <w:r>
        <w:rPr>
          <w:rFonts w:ascii="Segoe UI Symbol" w:hAnsi="Segoe UI Symbol"/>
        </w:rPr>
        <w:t xml:space="preserve">☐  </w:t>
      </w:r>
      <w:r>
        <w:rPr>
          <w:b/>
        </w:rPr>
        <w:t xml:space="preserve">19.2  </w:t>
      </w:r>
      <w:r>
        <w:rPr>
          <w:b/>
        </w:rPr>
        <w:t xml:space="preserve">Reasonable duration, geography, and activity</w:t>
      </w:r>
      <w:r>
        <w:t xml:space="preserve"> — Required (MUST)</w:t>
      </w:r>
    </w:p>
    <w:p>
      <w:pPr>
        <w:spacing w:before="0" w:after="120"/>
        <w:ind w:left="540"/>
      </w:pPr>
      <w:r>
        <w:t xml:space="preserve">Measure all three statutory dimensions — duration, geographic area, and the type of employment or line of business restricted — against the interest claimed. There is no fixed numeric cap, but an open-ended restriction fails: the Court of Appeals found a restraint with unlimited duration and geography on serving past or current clients unreasonable, and reasonableness gets decided as a question of law when the facts are undisputed, so overbreadth can sink the covenant without a trial. </w:t>
      </w:r>
    </w:p>
    <w:p>
      <w:pPr>
        <w:keepNext/>
        <w:spacing w:before="200" w:after="80"/>
      </w:pPr>
      <w:r>
        <w:rPr>
          <w:rFonts w:ascii="Segoe UI Symbol" w:hAnsi="Segoe UI Symbol"/>
        </w:rPr>
        <w:t xml:space="preserve">☐  </w:t>
      </w:r>
      <w:r>
        <w:rPr>
          <w:b/>
        </w:rPr>
        <w:t xml:space="preserve">19.3  </w:t>
      </w:r>
      <w:r>
        <w:rPr>
          <w:b/>
        </w:rPr>
        <w:t xml:space="preserve">General knowledge and skill left free</w:t>
      </w:r>
      <w:r>
        <w:t xml:space="preserve"> — Prohibited (MUST NOT)</w:t>
      </w:r>
    </w:p>
    <w:p>
      <w:pPr>
        <w:spacing w:before="0" w:after="120"/>
        <w:ind w:left="540"/>
      </w:pPr>
      <w:r>
        <w:t xml:space="preserve">No covenant in the agreement may stop the worker from using general knowledge or skill — the reasonableness test builds that limit in, and the Michigan Supreme Court enforces confidentiality-based restraints only to the extent they reasonably protect actual confidential information. Read each covenant and the confidentiality definition together: language sweeping in the trade itself, rather than the employer's secrets and relationships, claims more than Michigan law will enforce. </w:t>
      </w:r>
    </w:p>
    <w:p>
      <w:pPr>
        <w:keepNext/>
        <w:spacing w:before="200" w:after="80"/>
      </w:pPr>
      <w:r>
        <w:rPr>
          <w:rFonts w:ascii="Segoe UI Symbol" w:hAnsi="Segoe UI Symbol"/>
        </w:rPr>
        <w:t xml:space="preserve">☐  </w:t>
      </w:r>
      <w:r>
        <w:rPr>
          <w:b/>
        </w:rPr>
        <w:t xml:space="preserve">19.4  </w:t>
      </w:r>
      <w:r>
        <w:rPr>
          <w:b/>
        </w:rPr>
        <w:t xml:space="preserve">Real consideration for mid-employment signings</w:t>
      </w:r>
      <w:r>
        <w:t xml:space="preserve"> — Required (MUST)</w:t>
      </w:r>
    </w:p>
    <w:p>
      <w:pPr>
        <w:spacing w:before="0" w:after="120"/>
        <w:ind w:left="540"/>
      </w:pPr>
      <w:r>
        <w:t xml:space="preserve">For a covenant signed after employment began, establish what the worker received. Continued employment alone is sufficient consideration only in a genuine at-will setting; the Court of Appeals held a covenant void where just-cause employees got nothing else, because refusing to sign would not have been just cause to fire them. If the worker has just-cause protection or an employment contract, look for separate identifiable consideration — a raise, bonus, promotion, or new confidential access — documented in the agreement itself. </w:t>
      </w:r>
    </w:p>
    <w:p>
      <w:pPr>
        <w:keepNext/>
        <w:spacing w:before="200" w:after="80"/>
      </w:pPr>
      <w:r>
        <w:rPr>
          <w:rFonts w:ascii="Segoe UI Symbol" w:hAnsi="Segoe UI Symbol"/>
        </w:rPr>
        <w:t xml:space="preserve">☐  </w:t>
      </w:r>
      <w:r>
        <w:rPr>
          <w:b/>
        </w:rPr>
        <w:t xml:space="preserve">19.5  </w:t>
      </w:r>
      <w:r>
        <w:rPr>
          <w:b/>
        </w:rPr>
        <w:t xml:space="preserve">Business covenants on the right standard</w:t>
      </w:r>
      <w:r>
        <w:t xml:space="preserve"> — Required (MUST)</w:t>
      </w:r>
    </w:p>
    <w:p>
      <w:pPr>
        <w:spacing w:before="0" w:after="120"/>
        <w:ind w:left="540"/>
      </w:pPr>
      <w:r>
        <w:t xml:space="preserve">Classify the relationship before applying any other item on this page. A genuine commercial covenant between businesses — including a sale-of-business or transaction-ancillary restraint — is evaluated under the antitrust rule of reason, with deference to federal interpretations, not under the employee duration-geography framework. The antitrust baseline asks about market context and competitive effect, so a business-to-business covenant reviewed as if it were an employee clause has been analyzed under the wrong standard from the first step. </w:t>
      </w:r>
    </w:p>
    <w:p>
      <w:pPr>
        <w:spacing w:before="360" w:after="0"/>
      </w:pPr>
      <w:r>
        <w:rPr>
          <w:color w:val="666666"/>
          <w:sz w:val="16"/>
          <w:szCs w:val="16"/>
        </w:rPr>
        <w:t xml:space="preserve">Steven Obiajulu, J.D. edits this review checklist for Michigan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