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Delaware</w:t>
      </w:r>
    </w:p>
    <w:p>
      <w:pPr>
        <w:spacing w:before="0" w:after="120"/>
      </w:pPr>
      <w:r>
        <w:rPr>
          <w:i/>
          <w:color w:val="444444"/>
        </w:rPr>
        <w:t xml:space="preserve">A clause-by-clause reviewer checklist for Delaware employee restrictive covenant agreements — confidentiality, non-solicits, non-competes, and non-disparagement under Court of Chancery reasonableness review, where recent decisions increasingly refuse to blue-pencil an overbroad covenant rather than rewrite it.</w:t>
      </w:r>
    </w:p>
    <w:p>
      <w:pPr>
        <w:spacing w:before="0" w:after="240"/>
      </w:pPr>
      <w:r>
        <w:rPr>
          <w:color w:val="666666"/>
          <w:sz w:val="18"/>
          <w:szCs w:val="18"/>
        </w:rPr>
        <w:t xml:space="preserve">By Steven Obiajulu, J.D. Last reviewed 2026-06-12. License: CC BY 4.0. https://openagreements.org/legal/non-compete/delaware-review-checklist</w:t>
      </w:r>
    </w:p>
    <w:p>
      <w:pPr>
        <w:keepNext/>
        <w:spacing w:before="360" w:after="160"/>
      </w:pPr>
      <w:r>
        <w:rPr>
          <w:b/>
          <w:sz w:val="28"/>
          <w:szCs w:val="28"/>
        </w:rPr>
        <w:t xml:space="preserve">1. Parties and cover-term identification</w:t>
      </w:r>
    </w:p>
    <w:p>
      <w:pPr>
        <w:spacing w:before="0" w:after="120"/>
      </w:pPr>
      <w:r>
        <w:t xml:space="preserve">Review every item below the way the Court of Chancery would: a covenant must be reasonable in scope and duration, advance a legitimate economic interest, and survive a balancing of the equities — and an overbroad covenant increasingly falls whole, because recent Delaware decisions refuse to blue-pencil what the drafter should have narrowed at signing. For the question-by-question legal analysis behind these items, see the </w:t>
      </w:r>
      <w:r>
        <w:t xml:space="preserve">Delaware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goodwill and confidential information the covenants protect. Delaware recognizes employer goodwill and confidential information as the legitimate interests a restraint may serve, so a covenant running to an affiliate with neither starts the reasonableness review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two separate questions: when each restricted period starts and ends, and what the worker received at the moment of signing — because Delaware measures consideration at contract formation, not at enforcement. An undated agreement leaves both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of fit between this worker and this restraint. Delaware demands fact-specific tailoring before enforcing a true restraint on work, and a form covenant pinned to a role with no customer relationships or sensitive access gives the equities little to weigh on the employer's side.</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Delaware law controls — Chancery reasonableness review, the refusal trend on blue-penciling, and the two targeted statutes. The deeper question of whether a Delaware selection holds for an out-of-state worker has its own item in the governing-law section below.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confidential. Information that meets Delaware's statutory trade-secret definition is already protected by statute, so the contractual definition earns its keep by covering the sensitive-but-not-secret layer — and a definition so broad it works like an indefinite non-compete invites the reasonableness review that bare confidentiality language is supposed to avoid.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statutory elements: independent economic value from secrecy, plus reasonable efforts to keep the information secret. A definition aligned with the Delaware Uniform Trade Secrets Act keeps the contract and the statute pulling in the same direction — and the statutory remedies survive even if a covenant on this page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should read as a fixed, definite stretch of time. Delaware evaluates a covenant holistically — duration counts together with geography, activity scope, and every other restriction in the contract — so an open-ended or event-floated period adds breadth on a dimension the court weighs against everything else at once.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is the first prong of the Delaware test: the covenant must be reasonable in geographic scope and temporal duration. Match the territory to where the protected business actually operates and this worker actually reached — breadth here must be earned by the pleaded business reality, not assumed.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real contact with during a stated look-back window. Delaware credits restraints tied to specific, identified customer relationships — protecting the contracts with the employer's most valued customers is what carried a broad covenant past the pleading stage — and an unbounded customer class gives the equities nothing concrete to credit.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A class swelling to the employer's whole workforce adds breadth the holistic review counts, and the combined weight of overbroad definitions is exactly what has sunk recent Delaware covenants.</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Delaware's recognized interests are employer goodwill and confidential information, and the covenant must advance a legitimate economic interest of the party enforcing it — so tie each restraint to the goodwill or information this worker actually touched rather than reciting interests in the abstract.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everything the employer or its affiliates might do is the signature of the covenants Delaware courts have refused to rescue — a worldwide restraint drafted by a sophisticated party was left to fail as written rather than be revised down to something lawful.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is breadth with no goodwill or confidential-information story behind it, and it counts against the covenant in a review that weighs every dimension together.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The wider reading restrains more conduct, and in Delaware every increment of breadth has to be defended in the same holistic review — a drafter who wants the wider meaning should say so expressly and be ready to justify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What the worker received at signing</w:t>
      </w:r>
      <w:r>
        <w:t xml:space="preserve"> — Recommended (SHOULD)</w:t>
      </w:r>
    </w:p>
    <w:p>
      <w:pPr>
        <w:spacing w:before="0" w:after="120"/>
        <w:ind w:left="540"/>
      </w:pPr>
      <w:r>
        <w:t xml:space="preserve">Record what the worker received for the covenant and when signing happened relative to the first day of work. Delaware can treat continued employment as sufficient consideration where signing is a condition of keeping the position, and the Supreme Court measures consideration at formation rather than at enforcement — but adequacy still matters, because the balancing of the equities lets the court weigh the breadth of the restraint against the consideration that supports it. A recital naming the specific value exchanged does more work than a bare adequacy formula.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Delaware statute requires it, but a documented chance to take advice is useful evidence in a review that ends with a balancing of the equities — the court weighs how the covenant was obtained alongside what it restrains.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Both federal law and Delaware's own statute key trade-secret status to continued secrecy and reasonable efforts to maintain it, so a fixed expiry on trade-secret protection gives away the one obligation the statutes would otherwise protect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Delaware preserves contractual remedies alongside the trade-secret statute, but a confidentiality clause earns that protection by staying a confidentiality clause — drafted around actual confidential information, not run indefinitely as a non-compete by another name.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federal trade-secret action against the worker. In a state whose courts push employers toward tight covenants backed by statutory trade-secret remedies, those federal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Delaware covenant package does not need to carry into the equities.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Delaware's trade-secret statute conditions protection on efforts that are reasonable under the circumstances to maintain secrecy, so a disciplined exit procedure is not just housekeeping — it is part of the secrecy record the statute asks for.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usually the least contested covenant in the suite — but in Delaware it is not reviewed in isolation. The court weighs how each restriction operates with the others in the contract, so even a modest no-poach clause should stay scoped to real working relationships rather than padding the package with breadth the whole suite then has to defend.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most defensible when tied to identified customer relationships. A restraint built around specific contracts with the employer's most valued customers is the kind of business-specific interest Delaware credits; one built around the whole book of business asks the equities to protect competition itself.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That extra breadth is a dimension the holistic review weighs against the rest of the package — insist on a tight, contact-based customer class before this clause earns its place.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Delaware non-compete must be reasonable in geographic scope and temporal duration, advance a legitimate economic interest, and survive a balancing of the equities — and the modern decisions make the stakes explicit: an overbroad covenant may not be enforced even in part, because partial enforcement of overreach is itself inequitable. Review the clause as the court would, package and record together.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Delaware's refusal trend is incentive-driven — courts will not reward drafting broad and litigating narrow, because rescuing unreasonable covenants would teach employers to stop crafting reasonable ones — so the narrowing has to happen at the drafting table.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is breadth with no goodwill or confidential-information story, and the holistic review will weigh it against the whole package.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Delaware has a targeted physician statute, so the dedicated clause has real work to do: a covenant restricting a physician's right to practice medicine in a particular locale or for a defined period after termination is void, while the rest of the agreement stays enforceable — including damages provisions reasonably related to the injury from termination, which may include damages related to competition. The clause should state that split expressly: no practice restraint, and any damages provision kept separate and tied to actual injury. The full prohibition is enforced as a gate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Delaware's reasonableness review, but one that survives it — or a forfeiture condition on equity the worker is walking away from — is a genuine hazard for the hiring employer, better surfaced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the Court of Chancery would refuse to enforce — and refuse to narrow — overstates the employer's position and creates its own interference exposure.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State expressly whether the restricted period pauses while the worker is in breach — but know that no surveyed Delaware statute or decision blesses or rejects tolling. Treat any tolling clause as added duration: it is one more dimension of the covenant that the court evaluates together with everything else in the contract, and an employer should not assume a Delaware court will extend an expired restraint it never promised to extend.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in the Court of Chancery it buys nothing on its own. Relief presupposes a covenant that first survives the reasonableness review and the balancing of the equities, and recent decisions show the court denying enforcement outright where the restraint overreached.</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Delaware's trade-secret statute adds its own fee-shifting for bad-faith claims and wilful misappropriation, independent of anything the contract says — so a contractual fee clause should be checked for mutuality rather than treated as the only path to fees.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Real scope in the contract, not a court rescue</w:t>
      </w:r>
      <w:r>
        <w:t xml:space="preserve"> — Avoid (SHOULD NOT)</w:t>
      </w:r>
    </w:p>
    <w:p>
      <w:pPr>
        <w:spacing w:before="0" w:after="120"/>
        <w:ind w:left="540"/>
      </w:pPr>
      <w:r>
        <w:t xml:space="preserve">Read the severability boilerplate against what Delaware courts have actually been doing. The power to blue-pencil exists — the Supreme Court took care not to say that Delaware courts should never narrow an overbroad agreement — but the recent decisions refuse to use it as a rescue: partial enforcement of an overbroad covenant was called inequitable, a worldwide restraint was left to fail rather than be revised for a sophisticated party, and the court warned that saving unreasonable covenants would teach employers to stop drafting reasonable ones. So do not review a savings clause as a safety net. Put the actual enforceable scope in the contract — protected business, restricted activities, customer set, geography, duration — and treat anything broader as already lost.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non-solicit outlive a failed non-compete — and in a state whose courts increasingly decline to repair the failed clause, that separateness is the difference between losing one covenant and losing the package.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posture with it — the same reasonableness review, the same equities, the same reluctance to narrow — and a successor whose business looks nothing like the goodwill the covenant was written to protect inherits a harder case, not a better 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Delaware choice of law, and where it stops</w:t>
      </w:r>
      <w:r>
        <w:t xml:space="preserve"> — Avoid (SHOULD NOT)</w:t>
      </w:r>
    </w:p>
    <w:p>
      <w:pPr>
        <w:spacing w:before="0" w:after="120"/>
        <w:ind w:left="540"/>
      </w:pPr>
      <w:r>
        <w:t xml:space="preserve">Do not treat a Delaware choice-of-law clause as a universal workaround for another state's non-compete rules. The statutory anchor is real — a written Delaware selection in a qualifying contract is conclusively presumed a significant, material and reasonable relationship with the State, though contracts involving less than $100,000 are excluded — but Delaware's own courts police the limit: Chancery has refused to let Delaware's freedom-of-contract policy routinely trump the default state's public policy, and has applied another state's law over a Delaware clause where that state had the stronger interest. Name the governing law, venue, and dispute process expressly; for an out-of-state worker, analyze the default state, its fundamental policy, and which state has the materially greater interest before relying on the clause.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because Delaware fixes the consideration question at the moment each instrument is formed, an amendment that re-papers a covenant is its own formation event. Keep the amendment mechanics clean and leave a record of what value moved at each signing, so the formation-time story is documented rather than reconstructed in litigation.</w:t>
      </w:r>
    </w:p>
    <w:p>
      <w:pPr>
        <w:keepNext/>
        <w:spacing w:before="360" w:after="160"/>
      </w:pPr>
      <w:r>
        <w:rPr>
          <w:b/>
          <w:sz w:val="28"/>
          <w:szCs w:val="28"/>
        </w:rPr>
        <w:t xml:space="preserve">19. Delaware enforceability gates</w:t>
      </w:r>
    </w:p>
    <w:p>
      <w:pPr>
        <w:spacing w:before="0" w:after="120"/>
      </w:pPr>
      <w:r>
        <w:t xml:space="preserve">The five items below exist only on this Delaware page: they implement the Court of Chancery's reasonableness review, the physician practice-covenant voiding, the home-inspector trainee rule, the acquired-goodwill bound on sale-of-business covenants, and the line between a true restraint on work and a forfeiture condition on a deferred benefit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The full reasonableness review satisfied</w:t>
      </w:r>
      <w:r>
        <w:t xml:space="preserve"> — Required (MUST)</w:t>
      </w:r>
    </w:p>
    <w:p>
      <w:pPr>
        <w:spacing w:before="0" w:after="120"/>
        <w:ind w:left="540"/>
      </w:pPr>
      <w:r>
        <w:t xml:space="preserve">Run every restraint through the Delaware test: reasonable in geographic scope and temporal duration, advancing a legitimate economic interest of the party enforcing it, and surviving a balancing of the equities. The review is holistic — every dimension of the covenant, weighed together with the contract's other restrictions — and the recognized interests are employer goodwill and confidential information, established on this employer's actual facts. A Delaware choice-of-law clause, executive status, or an equity grant does not substitute for the inquiry, and no wage threshold or notice statute stands in for it either. </w:t>
      </w:r>
    </w:p>
    <w:p>
      <w:pPr>
        <w:keepNext/>
        <w:spacing w:before="200" w:after="80"/>
      </w:pPr>
      <w:r>
        <w:rPr>
          <w:rFonts w:ascii="Segoe UI Symbol" w:hAnsi="Segoe UI Symbol"/>
        </w:rPr>
        <w:t xml:space="preserve">☐  </w:t>
      </w:r>
      <w:r>
        <w:rPr>
          <w:b/>
        </w:rPr>
        <w:t xml:space="preserve">19.2  </w:t>
      </w:r>
      <w:r>
        <w:rPr>
          <w:b/>
        </w:rPr>
        <w:t xml:space="preserve">No practice restraints on physicians</w:t>
      </w:r>
      <w:r>
        <w:t xml:space="preserve"> — Prohibited (MUST NOT)</w:t>
      </w:r>
    </w:p>
    <w:p>
      <w:pPr>
        <w:spacing w:before="0" w:after="120"/>
        <w:ind w:left="540"/>
      </w:pPr>
      <w:r>
        <w:t xml:space="preserve">A covenant in an employment, partnership, or corporate agreement between or among physicians that restricts a physician's right to practice medicine in a particular locale or for a defined period after termination is void by statute. The statute is targeted, not total: all other provisions remain enforceable, including damages provisions in an amount reasonably related to the injury from termination — and those damages may include damages related to competition. Strike any practice restraint; keep any damages clause separate from it and tied to actual injury. </w:t>
      </w:r>
    </w:p>
    <w:p>
      <w:pPr>
        <w:keepNext/>
        <w:spacing w:before="200" w:after="80"/>
      </w:pPr>
      <w:r>
        <w:rPr>
          <w:rFonts w:ascii="Segoe UI Symbol" w:hAnsi="Segoe UI Symbol"/>
        </w:rPr>
        <w:t xml:space="preserve">☐  </w:t>
      </w:r>
      <w:r>
        <w:rPr>
          <w:b/>
        </w:rPr>
        <w:t xml:space="preserve">19.3  </w:t>
      </w:r>
      <w:r>
        <w:rPr>
          <w:b/>
        </w:rPr>
        <w:t xml:space="preserve">No non-compete forced on a home inspector trainee</w:t>
      </w:r>
      <w:r>
        <w:t xml:space="preserve"> — Prohibited (MUST NOT)</w:t>
      </w:r>
    </w:p>
    <w:p>
      <w:pPr>
        <w:spacing w:before="0" w:after="120"/>
        <w:ind w:left="540"/>
      </w:pPr>
      <w:r>
        <w:t xml:space="preserve">A registered home inspector trainee cannot be required to execute a covenant not to compete with a supervising licensed home inspector — or to pay the supervisor any fee or other thing of value — as a condition of satisfying the trainee requirements. This is a narrow licensing rule, not a general employee statute, so apply it in profession-specific review: inspection businesses, trainee-supervision arrangements, and any agreement papering that relationship. </w:t>
      </w:r>
    </w:p>
    <w:p>
      <w:pPr>
        <w:keepNext/>
        <w:spacing w:before="200" w:after="80"/>
      </w:pPr>
      <w:r>
        <w:rPr>
          <w:rFonts w:ascii="Segoe UI Symbol" w:hAnsi="Segoe UI Symbol"/>
        </w:rPr>
        <w:t xml:space="preserve">☐  </w:t>
      </w:r>
      <w:r>
        <w:rPr>
          <w:b/>
        </w:rPr>
        <w:t xml:space="preserve">19.4  </w:t>
      </w:r>
      <w:r>
        <w:rPr>
          <w:b/>
        </w:rPr>
        <w:t xml:space="preserve">Sale covenants matched to what was bought</w:t>
      </w:r>
      <w:r>
        <w:t xml:space="preserve"> — Recommended (SHOULD)</w:t>
      </w:r>
    </w:p>
    <w:p>
      <w:pPr>
        <w:spacing w:before="0" w:after="120"/>
        <w:ind w:left="540"/>
      </w:pPr>
      <w:r>
        <w:t xml:space="preserve">When the covenant rides a business sale, Delaware reviews it less searchingly than an employment covenant — but the restraint still has to match what the buyer actually bought. The cautionary case refused preliminary enforcement where the covenant protected the buyer's unrelated segments and affiliates beyond the goodwill and information acquired; the enforceable case paired substantial merger consideration with a restricted area matching the seller's real operational reach. Define the restricted business by the acquired business, and treat buyer-family affiliate language as overreach unless the record supports it. </w:t>
      </w:r>
    </w:p>
    <w:p>
      <w:pPr>
        <w:keepNext/>
        <w:spacing w:before="200" w:after="80"/>
      </w:pPr>
      <w:r>
        <w:rPr>
          <w:rFonts w:ascii="Segoe UI Symbol" w:hAnsi="Segoe UI Symbol"/>
        </w:rPr>
        <w:t xml:space="preserve">☐  </w:t>
      </w:r>
      <w:r>
        <w:rPr>
          <w:b/>
        </w:rPr>
        <w:t xml:space="preserve">19.5  </w:t>
      </w:r>
      <w:r>
        <w:rPr>
          <w:b/>
        </w:rPr>
        <w:t xml:space="preserve">Forfeiture conditions kept distinct from work bans</w:t>
      </w:r>
      <w:r>
        <w:t xml:space="preserve"> — Avoid (SHOULD NOT)</w:t>
      </w:r>
    </w:p>
    <w:p>
      <w:pPr>
        <w:spacing w:before="0" w:after="120"/>
        <w:ind w:left="540"/>
      </w:pPr>
      <w:r>
        <w:t xml:space="preserve">Do not let a label decide the review. A genuine forfeiture-for-competition provision conditions a deferred benefit — partnership distributions, equity awards — on staying out of competition: the worker remains free to compete at the price of the benefit, and Delaware reviews that condition under the employee-choice doctrine rather than as a restraint of trade, in corporate equity plans as much as limited partnerships. But the doctrine runs only one way. A clause that directly bars work is a true non-compete however it is captioned, and it keeps the full reasonableness review this page is built around — so classify each competition-linked provision by its effect before deciding which gate it must clear. </w:t>
      </w:r>
    </w:p>
    <w:p>
      <w:pPr>
        <w:spacing w:before="360" w:after="0"/>
      </w:pPr>
      <w:r>
        <w:rPr>
          <w:color w:val="666666"/>
          <w:sz w:val="16"/>
          <w:szCs w:val="16"/>
        </w:rPr>
        <w:t xml:space="preserve">Steven Obiajulu, J.D. edits this review checklist for Delaware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