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Connecticut</w:t>
      </w:r>
    </w:p>
    <w:p>
      <w:pPr>
        <w:spacing w:before="0" w:after="120"/>
      </w:pPr>
      <w:r>
        <w:rPr>
          <w:i/>
          <w:color w:val="444444"/>
        </w:rPr>
        <w:t xml:space="preserve">A clause-by-clause reviewer checklist for Connecticut employee restrictive covenant agreements — confidentiality, non-solicits, non-competes, and non-disparagement under the common-law five-factor reasonableness test and Connecticut's occupation-specific statutes.</w:t>
      </w:r>
    </w:p>
    <w:p>
      <w:pPr>
        <w:spacing w:before="0" w:after="240"/>
      </w:pPr>
      <w:r>
        <w:rPr>
          <w:color w:val="666666"/>
          <w:sz w:val="18"/>
          <w:szCs w:val="18"/>
        </w:rPr>
        <w:t xml:space="preserve">By Steven Obiajulu, J.D. Last reviewed 2026-06-12. License: CC BY 4.0. https://openagreements.org/legal/non-compete/connecticut-review-checklist</w:t>
      </w:r>
    </w:p>
    <w:p>
      <w:pPr>
        <w:keepNext/>
        <w:spacing w:before="360" w:after="160"/>
      </w:pPr>
      <w:r>
        <w:rPr>
          <w:b/>
          <w:sz w:val="28"/>
          <w:szCs w:val="28"/>
        </w:rPr>
        <w:t xml:space="preserve">1. Parties and cover-term identification</w:t>
      </w:r>
    </w:p>
    <w:p>
      <w:pPr>
        <w:spacing w:before="0" w:after="120"/>
      </w:pPr>
      <w:r>
        <w:t xml:space="preserve">Review every item below the way a Connecticut court would: there is no general non-compete statute, so the covenant lives or dies on a five-factor common-law balancing — unless the worker holds one of the occupations the legislature has singled out, in which case a targeted statute caps or voids the covenant before any balancing starts. For the question-by-question legal analysis behind these items, see the </w:t>
      </w:r>
      <w:r>
        <w:t xml:space="preserve">Connecticut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employs the worker — in Connecticut several of the targeted statutes attach by employer type, not just worker type. A broadcast industry employer and a homemaker-companion agency each trigger their own statutory rules, so a covenant papered with a parent or staffing affiliate can obscure which regime governs.</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 does heavy lifting for clinician covenants: the statutory caps reach covenants entered into, amended, extended, or renewed on or after July 1, 2016 for physicians and October 1, 2023 for physician assistants and APRNs. An undated instrument — or an undated amendment — leaves the reviewer unable to tell whether the one-year and fifteen-mile ceilings apply.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In Connecticut the worker's occupation selects the rulebook. Physicians, physician assistants, APRNs, security guards, broadcast employees, and home-care workers each sit under a different statutory rule, and everyone else gets common-law balancing. Record the title and the actual duties — the analysis cannot start without them.</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The choice decides whether the covenant is measured against Connecticut's five-factor reasonableness test and its occupation statutes or against some other body of law, and an agreement that leaves the question open invites a threshold fight before the merits.</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Tie the definition to material the employer can genuinely call its own. Connecticut's leading case upheld a restraint because the employee's knowledge of the customer list and other confidential information posed a real threat to the business — a definition that sweeps in everything the worker ever learned reads as fair-protection overreach rather than a protectable interest.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definition: independent economic value from secrecy plus reasonable secrecy efforts. The definition matters twice in Connecticut — it anchors the strongest protectable interest under the common-law test, and it is the only key that unlocks a security-guard covenant, where the employer must prove the guard actually obtained trade secrets as the statute defines them.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Connecticut has no general statutory cap for ordinary employees — courts have upheld even a five-year management restriction on the right facts — but the period must be justified by the record, such as the years it took to build the customer base, and clinician covenants are capped at one year regardless.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Map the territory to where the employer actually does business. The Connecticut rule is blunt: a covenant protecting the employer in areas where it does not do business and is unlikely to do business is unreasonable as to area. Statewide can be defensible when the customer footprint is statewide; aspiration is not a footprint.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actually serviced or solicited during a stated look-back window. That is the formulation Connecticut courts have rewarded since the 1930s — a customer-specific restraint protects the goodwill the employee personally built without restraining the rest of the market.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or supervised during the look-back window. No Connecticut occupation statute speaks to employee non-solicits, so the clause is judged on ordinary reasonableness — a modest, relationship-based class is far easier to defend than a workforce-wide hiring fence.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in the vocabulary Connecticut recognizes: trade secrets, confidential information, customer lists, and customer goodwill. The fair-protection factor of the reasonableness test runs through these interests, so a recital that claims only a general wish to avoid competition supports nothing.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and test the definition against the worker's livelihood: a Connecticut covenant is unenforceable if its terms preclude the employee from pursuing their occupation and supporting themselves and their family. A definition that swallows the worker's whole trade fails that prong on its face.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holding index funds or ordinary public shares adds harshness the employer cannot justify under the fair-protection factor — gratuitous breadth with no protectable interest behind it.</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down, and notice how much work a tight solicitation definition can do: Connecticut upheld a covenant with broad locality wording precisely because it was definitely restricted to soliciting the employer's own customers. A clear, customer-directed definition of soliciting is what makes that narrowing real.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 and for clinicians, capture who ended the relationship and why. The clinician statutes make a covenant unenforceable when the employer terminates other than for cause or lets the contract lapse without a bona fide renewal offer, so the definition feeds directly into enforceability, not just timing.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Consideration tied to the covenant</w:t>
      </w:r>
      <w:r>
        <w:t xml:space="preserve"> — Recommended (SHOULD)</w:t>
      </w:r>
    </w:p>
    <w:p>
      <w:pPr>
        <w:spacing w:before="0" w:after="120"/>
        <w:ind w:left="540"/>
      </w:pPr>
      <w:r>
        <w:t xml:space="preserve">For a covenant signed after employment began, look for an express statement that signing is a condition of continued employment — and evidence the worker actually received that continued employment. Connecticut's Supreme Court has rejected the idea that continued employment can never be consideration, and the Appellate Court treats continued at-will employment as sufficient when connected to the covenant; the worker can still win by proving no such connection existed, which is exactly what a bare, undated recital invites.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Connecticut statute demands it, but the reasonableness test weighs how harshly the restraint lands on the worker — and a documented opportunity to take the agreement to a lawyer before signing is cheap evidence that the process was fair rather than coercive.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and Connecticut's own trade-secret act keys protection to continued secrecy the same way. A fixed expiry on trade-secret confidentiality quietly forfeits protection the employer is entitled to keep, and weakens the strongest interest available to support any accompanying covenant.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Connecticut's leading case speaks of protecting confidential information for a reasonable period of time, not forever — a perpetual lid on non-secret material is the kind of unbounded restraint the reasonableness lens treats with suspicion, and the two-track structure keeps the perpetual obligation where it belongs.</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Connecticut: omit the immunity notice and the employer forfeits exemplary damages and attorney fees in a later federal trade-secret suit against the worker. For an employer whose covenant strategy leans on trade secrets, giving up those remedies over a missing paragraph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confidentiality clause cannot stop legally compelled disclosure, and a clause that pretends otherwise hands the worker an overbreadth argument for free.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Connecticut the certification feeds straight into the trade-secret act: an employer who can show what left and what came back is far better positioned to enjoin actual or threatened misappropriation than one reconstructing the record after the fact.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the quietest covenant in the Connecticut family: no occupation statute addresses it, so it is judged on ordinary reasonableness. Keep it inside the Covered Employees class and the Restricted Period, and remember that a clause drafted as a blanket hiring fence draws the same balancing scrutiny as any other restraint.</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best-value covenant in Connecticut. The courts' oldest favorable authority enforced exactly this shape — a restraint limited to the employer's own customers, protecting the goodwill the worker built on the employer's dime while leaving the rest of the market open. Keep it tied to serviced-or-solicited customers and a stated period.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meaningfully harsher restraint than a non-solicit. Under Connecticut's balancing it presses on the employee-livelihood and public-interest factors at the same time, since the customer loses their chosen provider too; treat its inclusion as a deliberate risk decision and keep the customer class tight.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Available in Connecticut, but only on the common law's terms: partial in time or place, reasonable, fairly protective of the employer without crushing the worker or the public. Before evaluating any term of the clause, route the review through the Connecticut gates at the end of this checklist — first the worker's occupation, then the five-factor balancing.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In a state where enforceability turns on whether the restraint affords only fair protection, a named list is self-proving narrowness — and it leaves the worker free to take the rest of the industry's jobs, which defuses the livelihood objection.</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carve-out and no end date is breadth the employer will struggle to justify as fair protection of any recognized interest.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no Connecticut statute gives the clause any special shelter.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Connecticut's physician rules plainly: the covenant is valid only if necessary to protect a legitimate business interest and reasonably limited in time, geography, and practice restrictions; for covenants entered into, amended, extended, or renewed on or after July 1, 2016, it cannot exceed one year or fifteen miles from the primary practice site; and it falls away when the employer terminates without cause or lets the contract lapse without a bona fide renewal offer. Parallel one-year and fifteen-mile rules cover physician assistants and APRNs — checked in the Connecticut gates below.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surfaces an incoming covenant on day one — when the parties can still assess it under Connecticut's reasonableness lens and the relevant occupation statute — instead of after a demand letter arrives mid-quarter.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requirement. A notice provision can support enforcement, but warning a new employer off a worker based on a covenant that a Connecticut court would balance away — or that an occupation statute voids outright — invites a tortious-interference dispute. If the clause appears, condition any outreach on a covenant that actually survives the gates in this checklist.</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Connecticut question. No staged statute or appellate decision endorses automatic extension; the staged authority treated a request for an injunction as moot once the covenant period had run, and any extension clause still has to survive the same reasonableness test as the underlying restraint. Draft it as a separate, breach-tied, bounded restraint, and do not assume a court will revive an expired covenant.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Where trade secrets are in play, Connecticut's trade-secret act independently authorizes an injunction against actual or threatened misappropriation — a second route to the same relief that does not depend on the covenant surviving review.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default American Rule applies if the agreement is silent. Check that any fee-shifting is mutual and prevailing-party based — a one-way employer clause adds to the harshness side of the ledger when a Connecticut court weighs how heavily the whole package lands on the worker.</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Severable tiers, not court rescue</w:t>
      </w:r>
      <w:r>
        <w:t xml:space="preserve"> — Avoid (SHOULD NOT)</w:t>
      </w:r>
    </w:p>
    <w:p>
      <w:pPr>
        <w:spacing w:before="0" w:after="120"/>
        <w:ind w:left="540"/>
      </w:pPr>
      <w:r>
        <w:t xml:space="preserve">Read the severability clause as architecture, not insurance. Connecticut gives the drafter no reliable rule that a court will rewrite an overbroad covenant: internally inconsistent restraint language can be construed against the drafter when no reasonable reconciliation is possible, and the one statutory severance rule in this area preserves only the non-covenant remainder of a physician contract — not a trimmed restraint. Prefer separable tiers and customer-specific alternatives that leave a court narrower text to enforce or strike, instead of a savings clause that asks the court to supply a new radius or duration of its own.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Connecticut the discipline matters because each surviving covenant is balanced on its own footing: a defensible customer non-solicit should not have its fate bundled with a shakier market-wide restraint inside one undifferentiated survival clause.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The successor inherits the Connecticut analysis along with the covenant: the reasonableness factors are re-weighed against the enforcing business's actual footprint and interests, so a restraint sized to the original employer does not automatically fit the buyer.</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The clause should name governing law, venue, and the dispute process. For a Connecticut workforce the honest selection is Connecticut law and a Connecticut forum: the covenant was presumably drafted against the five-factor test and the occupation statutes, and a foreign-law clause papering a Connecticut clinician, guard, or home-care worker signals a form that was never localized — and tees up a choice-of-law fight on top of the merits.</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Connecticut trap inside: the clinician statutes reach covenants entered into, amended, extended, or renewed on or after their trigger dates, so a routine amendment or renewal can pull an older physician, PA, or APRN covenant into the one-year and fifteen-mile regime. Review the amendment mechanics so a refresh does not silently convert a grandfathered covenant into a noncompliant one. </w:t>
      </w:r>
    </w:p>
    <w:p>
      <w:pPr>
        <w:keepNext/>
        <w:spacing w:before="360" w:after="160"/>
      </w:pPr>
      <w:r>
        <w:rPr>
          <w:b/>
          <w:sz w:val="28"/>
          <w:szCs w:val="28"/>
        </w:rPr>
        <w:t xml:space="preserve">19. Connecticut gates (common-law test and occupation statutes)</w:t>
      </w:r>
    </w:p>
    <w:p>
      <w:pPr>
        <w:spacing w:before="0" w:after="120"/>
      </w:pPr>
      <w:r>
        <w:t xml:space="preserve">The six items below exist only on this Connecticut page: the five-factor reasonableness test every covenant must pass, and the occupation statutes that cap or void covenants for clinicians, security guards, broadcast employees, and home-care workers before any balancing begins.</w:t>
      </w:r>
    </w:p>
    <w:p>
      <w:pPr>
        <w:keepNext/>
        <w:spacing w:before="200" w:after="80"/>
      </w:pPr>
      <w:r>
        <w:rPr>
          <w:rFonts w:ascii="Segoe UI Symbol" w:hAnsi="Segoe UI Symbol"/>
        </w:rPr>
        <w:t xml:space="preserve">☐  </w:t>
      </w:r>
      <w:r>
        <w:rPr>
          <w:b/>
        </w:rPr>
        <w:t xml:space="preserve">19.1  </w:t>
      </w:r>
      <w:r>
        <w:rPr>
          <w:b/>
        </w:rPr>
        <w:t xml:space="preserve">Reasonableness on all five factors</w:t>
      </w:r>
      <w:r>
        <w:t xml:space="preserve"> — Required (MUST)</w:t>
      </w:r>
    </w:p>
    <w:p>
      <w:pPr>
        <w:spacing w:before="0" w:after="120"/>
        <w:ind w:left="540"/>
      </w:pPr>
      <w:r>
        <w:t xml:space="preserve">Run every restraint through Connecticut's five recurring questions: duration, geography, fair protection of the employer, the burden on the employee, and the public interest. The covenant must be partial and restricted as to time or place, must afford only fair protection to the employer's interest, cannot interfere with the public, and is unenforceable if it stops the worker from pursuing their occupation and supporting their family. The factors trade off against each other — a wider area needs a shorter period — and the whole package is measured against a real protectable interest, not against the wish to avoid competition. </w:t>
      </w:r>
    </w:p>
    <w:p>
      <w:pPr>
        <w:keepNext/>
        <w:spacing w:before="200" w:after="80"/>
      </w:pPr>
      <w:r>
        <w:rPr>
          <w:rFonts w:ascii="Segoe UI Symbol" w:hAnsi="Segoe UI Symbol"/>
        </w:rPr>
        <w:t xml:space="preserve">☐  </w:t>
      </w:r>
      <w:r>
        <w:rPr>
          <w:b/>
        </w:rPr>
        <w:t xml:space="preserve">19.2  </w:t>
      </w:r>
      <w:r>
        <w:rPr>
          <w:b/>
        </w:rPr>
        <w:t xml:space="preserve">Physician covenants capped at one year and fifteen miles</w:t>
      </w:r>
      <w:r>
        <w:t xml:space="preserve"> — Prohibited (MUST NOT)</w:t>
      </w:r>
    </w:p>
    <w:p>
      <w:pPr>
        <w:spacing w:before="0" w:after="120"/>
        <w:ind w:left="540"/>
      </w:pPr>
      <w:r>
        <w:t xml:space="preserve">For a physician covenant entered into, amended, extended, or renewed on or after July 1, 2016: no more than one year, no more than fifteen miles from the primary practice site, and no enforcement at all where the employer terminated without cause or let the contract lapse without a bona fide renewal offer. For covenants touched on or after October 1, 2023, add the compensation check: if the physician declined a proposed material change to compensation terms and the contract then expired unrenewed or was terminated without cause, the covenant fails. Check the dates and the separation story before reading a single defined term. </w:t>
      </w:r>
    </w:p>
    <w:p>
      <w:pPr>
        <w:keepNext/>
        <w:spacing w:before="200" w:after="80"/>
      </w:pPr>
      <w:r>
        <w:rPr>
          <w:rFonts w:ascii="Segoe UI Symbol" w:hAnsi="Segoe UI Symbol"/>
        </w:rPr>
        <w:t xml:space="preserve">☐  </w:t>
      </w:r>
      <w:r>
        <w:rPr>
          <w:b/>
        </w:rPr>
        <w:t xml:space="preserve">19.3  </w:t>
      </w:r>
      <w:r>
        <w:rPr>
          <w:b/>
        </w:rPr>
        <w:t xml:space="preserve">PA and APRN covenants capped at one year and fifteen miles</w:t>
      </w:r>
      <w:r>
        <w:t xml:space="preserve"> — Prohibited (MUST NOT)</w:t>
      </w:r>
    </w:p>
    <w:p>
      <w:pPr>
        <w:spacing w:before="0" w:after="120"/>
        <w:ind w:left="540"/>
      </w:pPr>
      <w:r>
        <w:t xml:space="preserve">Physician assistants and advanced practice registered nurses have their own parallel caps: for covenants entered into, amended, extended, or renewed on or after October 1, 2023, no more than one year and no more than fifteen miles from the primary practice site, with the same non-renewal and termination-without-cause escape hatches as the physician statute. A clinician form drafted for physicians does not cover this — each profession has its own statute and its own trigger date, and an older PA or APRN covenant joins the regime the moment it is amended or renewed. </w:t>
      </w:r>
    </w:p>
    <w:p>
      <w:pPr>
        <w:keepNext/>
        <w:spacing w:before="200" w:after="80"/>
      </w:pPr>
      <w:r>
        <w:rPr>
          <w:rFonts w:ascii="Segoe UI Symbol" w:hAnsi="Segoe UI Symbol"/>
        </w:rPr>
        <w:t xml:space="preserve">☐  </w:t>
      </w:r>
      <w:r>
        <w:rPr>
          <w:b/>
        </w:rPr>
        <w:t xml:space="preserve">19.4  </w:t>
      </w:r>
      <w:r>
        <w:rPr>
          <w:b/>
        </w:rPr>
        <w:t xml:space="preserve">No security-guard non-competes without proven trade secrets</w:t>
      </w:r>
      <w:r>
        <w:t xml:space="preserve"> — Prohibited (MUST NOT)</w:t>
      </w:r>
    </w:p>
    <w:p>
      <w:pPr>
        <w:spacing w:before="0" w:after="120"/>
        <w:ind w:left="540"/>
      </w:pPr>
      <w:r>
        <w:t xml:space="preserve">An employer cannot require a security guard — federal occupational classification 339032 — to agree not to work the same or a similar job at the same location for another employer or independently, unless the employer proves the guard obtained its trade secrets as the trade-secret act defines them. The exception runs on proof, not paperwork: a recital that the guard had access to confidential material does not carry the statutory burden, and the borrowed definition demands real economic value from secrecy plus genuine secrecy efforts. </w:t>
      </w:r>
    </w:p>
    <w:p>
      <w:pPr>
        <w:keepNext/>
        <w:spacing w:before="200" w:after="80"/>
      </w:pPr>
      <w:r>
        <w:rPr>
          <w:rFonts w:ascii="Segoe UI Symbol" w:hAnsi="Segoe UI Symbol"/>
        </w:rPr>
        <w:t xml:space="preserve">☐  </w:t>
      </w:r>
      <w:r>
        <w:rPr>
          <w:b/>
        </w:rPr>
        <w:t xml:space="preserve">19.5  </w:t>
      </w:r>
      <w:r>
        <w:rPr>
          <w:b/>
        </w:rPr>
        <w:t xml:space="preserve">No post-employment restraints for broadcast employees</w:t>
      </w:r>
      <w:r>
        <w:t xml:space="preserve"> — Prohibited (MUST NOT)</w:t>
      </w:r>
    </w:p>
    <w:p>
      <w:pPr>
        <w:spacing w:before="0" w:after="120"/>
        <w:ind w:left="540"/>
      </w:pPr>
      <w:r>
        <w:t xml:space="preserve">A broadcast industry employment contract cannot require a covered broadcast employee to stay out of broadcast work in a specified area for a specified time after termination. The statute also closes the side doors: no clause forcing the employee to disclose competing offers after the contract term, and no clause obligating the employee to re-sign with the incumbent on whatever terms a rival offered. A covenant rebuilt as an offer-disclosure or matching obligation fails alongside the covenant itself. </w:t>
      </w:r>
    </w:p>
    <w:p>
      <w:pPr>
        <w:keepNext/>
        <w:spacing w:before="200" w:after="80"/>
      </w:pPr>
      <w:r>
        <w:rPr>
          <w:rFonts w:ascii="Segoe UI Symbol" w:hAnsi="Segoe UI Symbol"/>
        </w:rPr>
        <w:t xml:space="preserve">☐  </w:t>
      </w:r>
      <w:r>
        <w:rPr>
          <w:b/>
        </w:rPr>
        <w:t xml:space="preserve">19.6  </w:t>
      </w:r>
      <w:r>
        <w:rPr>
          <w:b/>
        </w:rPr>
        <w:t xml:space="preserve">No covenants for home-care workers</w:t>
      </w:r>
      <w:r>
        <w:t xml:space="preserve"> — Prohibited (MUST NOT)</w:t>
      </w:r>
    </w:p>
    <w:p>
      <w:pPr>
        <w:spacing w:before="0" w:after="120"/>
        <w:ind w:left="540"/>
      </w:pPr>
      <w:r>
        <w:t xml:space="preserve">For workers covered by the homemaker, companion, and home-health services statute, a covenant not to compete is against public policy — void and unenforceable, with no compensation, consideration, or trade-secret cure. The companion rule voids no-hire clauses between a homemaker-companion agency and its clients, so the agency cannot recreate the restraint by charging the client a penalty, fee, or damages for hiring the worker directly. If either device appears in the package, strike it rather than tailor it. </w:t>
      </w:r>
    </w:p>
    <w:p>
      <w:pPr>
        <w:spacing w:before="360" w:after="0"/>
      </w:pPr>
      <w:r>
        <w:rPr>
          <w:color w:val="666666"/>
          <w:sz w:val="16"/>
          <w:szCs w:val="16"/>
        </w:rPr>
        <w:t xml:space="preserve">Steven Obiajulu, J.D. edits this review checklist for Connecticut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