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Arizona</w:t>
      </w:r>
    </w:p>
    <w:p>
      <w:pPr>
        <w:spacing w:before="0" w:after="120"/>
      </w:pPr>
      <w:r>
        <w:rPr>
          <w:i/>
          <w:color w:val="444444"/>
        </w:rPr>
        <w:t xml:space="preserve">A clause-by-clause reviewer checklist for Arizona employee restrictive covenant agreements — confidentiality, non-solicits, non-competes, and non-disparagement under the Valley Medical Specialists v. Farber reasonableness test and Arizona's strict trim-only blue pencil, which strikes overbroad terms but never rewrites them.</w:t>
      </w:r>
    </w:p>
    <w:p>
      <w:pPr>
        <w:spacing w:before="0" w:after="240"/>
      </w:pPr>
      <w:r>
        <w:rPr>
          <w:color w:val="666666"/>
          <w:sz w:val="18"/>
          <w:szCs w:val="18"/>
        </w:rPr>
        <w:t xml:space="preserve">By Steven Obiajulu, J.D. Last reviewed 2026-06-12. License: CC BY 4.0. https://openagreements.org/legal/non-compete/arizona-review-checklist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an Arizona court would: restrictive covenants are disfavored restraints judged for reasonableness against the employer's actual protectable interest, and an overbroad term gets struck — never rewritten — so each clause must survive on the words it was signed with. For the question-by-question legal analysis behind these items, see the </w:t>
      </w:r>
      <w:r>
        <w:t xml:space="preserve">Arizona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business interest the covenants claim to protect — Arizona measures every restraint against that specific interest. And identify what the employer actually is: if it is a television or radio station or network, the broadcast-employee ban in the Arizona gates section controls before anything else on this page.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on this page runs from a defined start date, and Arizona courts evaluate the total effective duration for reasonableness. An undated agreement leaves each restricted period unanchored — and since no court here will repair an indeterminate term, the date needs to be on the page, not implied.</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role selects the rulebook. A physician's covenant is strictly construed for reasonableness under a heightened public-interest lens, and a broadcast employee cannot be required to sign a non-compete at all — so record the title and duties, then route the review to the matching item before weighing any terms.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 and treat a out-of-state selection in an Arizona-centered employment relationship as a red flag rather than a fix. A federal court applying Arizona conflicts principles has refused to let a foreign choice-of-law clause import a friendlier non-compete regime, because Arizona law does not approve of broad non-compete provisions.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for functional effect, not just clarity. Arizona treats a confidentiality covenant that sweeps broadly enough to bar competition in practice as a non-compete in disguise — an unlimited definition reaching non-secret information has been held unenforceable as the equivalent of a geographically unrestricted non-compete. Keep the defined class tied to genuinely confidential material with sensible limits.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Match the contractual definition to the statutory one: under the Arizona Uniform Trade Secrets Act, a trade secret derives independent economic value from secrecy and is the subject of reasonable secrecy efforts. A definition that tracks the statute lets the trade-secret obligations ride the strongest protectable interest Arizona law recognizes — and keeps the perpetual tier defensible.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reasonableness test: a restraint greater than necessary to protect the legitimate interest will not be enforced, and duration is one of the dimensions measured. Since an Arizona court strikes rather than shortens, the period should be set to what the interest actually requires — not to an opening negotiating position.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interest actually lives — the customers served, the market worked. Arizona enforces restraints no broader than the employer's legitimately protectable interests, and a territory drawn to ambition rather than evidence invites the court to strike the clause rather than shrink the map.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or learned about during a stated look-back window. Arizona requires a protectable interest in the specific relationships restrained — the leading anti-piracy case failed precisely because the employer had no protectable interest in the account at issue — so an entire-book-of-business definition overreaches the interest that justifies the clause.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worked with or supervised. Arizona runs anti-piracy covenants through the same no-broader-than-necessary test as non-competes, so a definition spanning the whole workforce has to answer for an interest the employer cannot show in most of it.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 trade secrets, confidential information, customer goodwill — because the interest inquiry is the threshold of every Arizona covenant fight. The employer must show an interest worth protecting before reasonableness is even reached, and a recital that gestures at competition generally identifies nothing a court can weigh.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employee did. Arizona disfavors restraints that keep a former employee from pursuing a similar vocation, and a definition that expands to anything the employer might someday do reads as exactly that — with no court willing to rewrite it down to size.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is gratuitous overbreadth — and in a state where overbreadth gets struck rather than trimmed, gratuitous overbreadth is a self-inflicted wound.</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identifiable conduct. Arizona judges a covenant by what it does, not what it is called, so a solicitation definition that quietly captures any future dealing with customers pushes the clause toward treatment as a non-compete — and into the reasonableness analysis that comes with it.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restricted period runs from this event, and with no Arizona authority on pausing or extending the clock, the definition is the only thing standing between the parties and a dispute over when the covenant even started.</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Arizona is forgiving here: continued at-will employment is sufficient consideration for a covenant signed after employment has already begun, so a mid-employment agreement does not need a raise or bonus to be binding. The acknowledgement still earns its place by pinning down the signing date and what consideration moved — the facts a later enforcement fight starts with.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Arizona statute demands it, but the reasonableness analysis weighs hardship to the employee — and an acknowledgement that the employee had a real chance to take the agreement to a lawyer is inexpensive evidence that the process was fair rather than rushed.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as long as secrecy does — that is how the law defines the right, and a fixed expiry quietly licenses use of information the statute still protects. Arizona pairs the federal definition with its own trade-secrets act, and contractual remedies survive alongside the statutory ones, so this tier of the clause carries real weight.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In Arizona this split is load-bearing: a confidentiality clause with no time limit reaching non-secret information has been struck as the equivalent of a geographically unrestricted non-compete, so the perpetual tier should hold trade secrets only, with everything else on a clock.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Arizona: omit the immunity notice and the employer forfeits exemplary damages and attorney fees in a later trade-secret suit against the worker. Because trade secrets are the sturdiest interest an Arizona covenant can protect, giving away the strongest remedies for them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anyway — and in Arizona an overreaching clause risks being read as a restraint on competition rather than a shield for secrets.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The certification is the cleanest contemporaneous evidence if protected material later surfaces at a competitor — and worth dating carefully, since an Arizona misappropriation claim must be brought within three years of when the misappropriation is or should have been discovered.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usually the lowest-risk covenant in the family — but Arizona gives it no special pass. Anti-piracy covenants face the same no-broader-than-necessary test as non-competes, so keep the clause inside the Covered Employees class and the Restricted Period rather than letting it drift into a general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enforceable only as far as the employer's interest in the specific customer relationships reaches. The leading Arizona case refused enforcement because the employer had no protectable interest in the account it was trying to protect — so audit the customer class against actual contact and actual goodwill, not revenue ambitions.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rather than chasing it. Because Arizona classifies covenants by functional effect, a non-dealing clause sits closer to a non-compete than to a non-solicit, and it should expect the full reasonableness analysis that reclassification brings.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treat it as the most fragile clause on the page: Arizona disfavors restraints on pursuing a similar vocation, enforces them only when reasonable, and will not repair an overbroad one. Route the review through the Arizona gates section — protectable interest first, then duration, geography, and activity scope against that interest.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The payoff in Arizona is concrete: a named list is strong evidence the restraint matches the interest, and since the court will not rewrite an overbroad clause into a narrow one, the narrowing has to be done at the drafting table.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boundaries is one more candidate for functional reclassification as a restraint on competition.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Arizona adds no statute of its own — the federal limits are the operative ones.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covenants under heightened review</w:t>
      </w:r>
      <w:r>
        <w:t xml:space="preserve"> — Recommended (SHOULD)</w:t>
      </w:r>
    </w:p>
    <w:p>
      <w:pPr>
        <w:spacing w:before="0" w:after="120"/>
        <w:ind w:left="540"/>
      </w:pPr>
      <w:r>
        <w:t xml:space="preserve">The dedicated physician clause should state Arizona's judge-made rule plainly: a physician non-compete is not automatically void, but every one is strictly construed for reasonableness because of the public interest in patients choosing their doctor — and in the leading case that public interest outweighed the employer's protectable interest, so the covenant fell. Review any physician restraint at its narrowest defensible scope, and treat close calls as losses.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before the first customer call — and gives the new employer the chance to evaluate whether that covenant would even survive an Arizona reasonableness review before relying on the hire.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remember the posture it operates in: Arizona disfavors these restraints, and a warning letter built on a covenant that later fails the reasonableness test buys tortious-interference exposure without buying enforcement. Condition any third-party notice on a covenant the employer would actually defend in court.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Arizona question. No appellate decision here has decided whether a covenant period tolls during breach or litigation, so an extension clause is best read as part of the covenant's total duration, which is measured for reasonableness. And because the court will strike rather than shorten, an extension that pushes the effective period past reasonable risks taking the whole covenant with it.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what it cannot do: no recital makes an unreasonable Arizona covenant enforceable, and a restraint greater than necessary to protect the legitimate interest will not be enforced at all, injunction clause or not. </w:t>
      </w:r>
    </w:p>
    <w:p>
      <w:pPr>
        <w:keepNext/>
        <w:spacing w:before="200" w:after="80"/>
      </w:pPr>
      <w:r>
        <w:rPr>
          <w:rFonts w:ascii="Segoe UI Symbol" w:hAnsi="Segoe UI Symbol"/>
        </w:rPr>
        <w:t xml:space="preserve">☐  </w:t>
      </w:r>
      <w:r>
        <w:rPr>
          <w:b/>
        </w:rPr>
        <w:t xml:space="preserve">13.2  </w:t>
      </w:r>
      <w:r>
        <w:rPr>
          <w:b/>
        </w:rPr>
        <w:t xml:space="preserve">Attorney fees run both ways</w:t>
      </w:r>
      <w:r>
        <w:t xml:space="preserve"> — Optional (MAY)</w:t>
      </w:r>
    </w:p>
    <w:p>
      <w:pPr>
        <w:spacing w:before="0" w:after="120"/>
        <w:ind w:left="540"/>
      </w:pPr>
      <w:r>
        <w:t xml:space="preserve">A fee clause remains a commercial choice, but in Arizona silence does not mean each side pays its own way: in any contested action arising out of a contract, the court may award reasonable attorney fees to the successful party, whatever the agreement says. Read any fee clause against that backdrop — the exposure is mutual and discretionary by statute, and an employer that loses an overreaching enforcement action can be ordered to pay the former employee's fees.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drafting, no court rescue</w:t>
      </w:r>
      <w:r>
        <w:t xml:space="preserve"> — Avoid (SHOULD NOT)</w:t>
      </w:r>
    </w:p>
    <w:p>
      <w:pPr>
        <w:spacing w:before="0" w:after="120"/>
        <w:ind w:left="540"/>
      </w:pPr>
      <w:r>
        <w:t xml:space="preserve">Treat any reformation or savings clause as decoration: an Arizona court may strike a grammatically severable unreasonable term, but it cannot add language or rewrite the covenant to make it reasonable — an appellate court has reversed a trial judge for doing exactly that. And where the unreasonable portion is not severable, the whole restraint falls. So review structure as hard as breadth: each duration, territory, and activity restriction should stand as its own grammatically severable unit a court could strike individually, with an ordinary severability clause tying the package together.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Arizona the discipline doubles as severability insurance: covenants that survive on their own terms, in their own clauses, are exactly the grammatically separable units a court can preserve when it strikes a defective neighbor.</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enforcing inherits the Arizona analysis unchanged — the assignee must still show its own legitimate interest behind the restraint, and an assignment clause moves the covenant without strengthening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No borrowed law to loosen Arizona limits</w:t>
      </w:r>
      <w:r>
        <w:t xml:space="preserve"> — Avoid (SHOULD NOT)</w:t>
      </w:r>
    </w:p>
    <w:p>
      <w:pPr>
        <w:spacing w:before="0" w:after="120"/>
        <w:ind w:left="540"/>
      </w:pPr>
      <w:r>
        <w:t xml:space="preserve">Flag a out-of-state choice-of-law clause in an Arizona-centered employment relationship as a strategy, not a setting — and one that has failed. A federal court refused to apply a foreign clause that would have imported a friendlier regime, including judicial rewriting of overbroad covenants, holding the selection likely unenforceable under the Restatement because Arizona law does not approve of broad non-compete provisions. The clause should still state governing law, venue, and process; just confirm the forum-selection benefit stays with the parties who signed, because the state supreme court has declined to let closely related non-signatories enforce it.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Arizona convenience worth noting: a covenant refreshed by amendment mid-employment does not need fresh monetary consideration, since continued at-will employment is sufficient consideration for a covenant signed after employment has begun. The amendment mechanics just need to make clear which version of the covenant is the one in force. </w:t>
      </w:r>
    </w:p>
    <w:p>
      <w:pPr>
        <w:keepNext/>
        <w:spacing w:before="360" w:after="160"/>
      </w:pPr>
      <w:r>
        <w:rPr>
          <w:b/>
          <w:sz w:val="28"/>
          <w:szCs w:val="28"/>
        </w:rPr>
        <w:t xml:space="preserve">19. Arizona gates (reasonableness, de facto covenants, and the broadcast ban)</w:t>
      </w:r>
    </w:p>
    <w:p>
      <w:pPr>
        <w:spacing w:before="0" w:after="120"/>
      </w:pPr>
      <w:r>
        <w:t xml:space="preserve">The four items below exist only on this Arizona page: the common-law reasonableness and protectable-interest gate every covenant must pass, the broadcast-employee statutory ban, the functional-effect rule that turns overgrown confidentiality and non-solicit clauses into non-competes, and the goodwill tether on sale-of-business covenants.</w:t>
      </w:r>
    </w:p>
    <w:p>
      <w:pPr>
        <w:keepNext/>
        <w:spacing w:before="200" w:after="80"/>
      </w:pPr>
      <w:r>
        <w:rPr>
          <w:rFonts w:ascii="Segoe UI Symbol" w:hAnsi="Segoe UI Symbol"/>
        </w:rPr>
        <w:t xml:space="preserve">☐  </w:t>
      </w:r>
      <w:r>
        <w:rPr>
          <w:b/>
        </w:rPr>
        <w:t xml:space="preserve">19.1  </w:t>
      </w:r>
      <w:r>
        <w:rPr>
          <w:b/>
        </w:rPr>
        <w:t xml:space="preserve">Protectable interest plus tailored scope</w:t>
      </w:r>
      <w:r>
        <w:t xml:space="preserve"> — Required (MUST)</w:t>
      </w:r>
    </w:p>
    <w:p>
      <w:pPr>
        <w:spacing w:before="0" w:after="120"/>
        <w:ind w:left="540"/>
      </w:pPr>
      <w:r>
        <w:t xml:space="preserve">Run every restraint through the two-part test the enforcing employer will face: first an identifiable protectable interest — trade secrets, confidential information, customer goodwill — and then a scope no broader than that interest requires, with the employee's hardship and the public's interest on the other side of the scale. A covenant greater than necessary will not be enforced, and the interest inquiry is where weak covenants die first: the leading anti-piracy case failed because the employer had no protectable interest in the account it restrained. </w:t>
      </w:r>
    </w:p>
    <w:p>
      <w:pPr>
        <w:keepNext/>
        <w:spacing w:before="200" w:after="80"/>
      </w:pPr>
      <w:r>
        <w:rPr>
          <w:rFonts w:ascii="Segoe UI Symbol" w:hAnsi="Segoe UI Symbol"/>
        </w:rPr>
        <w:t xml:space="preserve">☐  </w:t>
      </w:r>
      <w:r>
        <w:rPr>
          <w:b/>
        </w:rPr>
        <w:t xml:space="preserve">19.2  </w:t>
      </w:r>
      <w:r>
        <w:rPr>
          <w:b/>
        </w:rPr>
        <w:t xml:space="preserve">No required non-competes for broadcast employees</w:t>
      </w:r>
      <w:r>
        <w:t xml:space="preserve"> — Prohibited (MUST NOT)</w:t>
      </w:r>
    </w:p>
    <w:p>
      <w:pPr>
        <w:spacing w:before="0" w:after="120"/>
        <w:ind w:left="540"/>
      </w:pPr>
      <w:r>
        <w:t xml:space="preserve">Arizona's one statutory ban: a broadcast employer — a television or radio station or network — may not require a current or prospective employee to agree to a noncompete clause as a condition of employment. This is a categorical prohibition, not a reasonableness test, and the statute defines the banned clause as one prohibiting work in a specific geographic area for a specific period after leaving the broadcast employer. Establish what the employer is before weighing any covenant term; for everyone outside broadcasting, the common-law gates above and below still govern. </w:t>
      </w:r>
    </w:p>
    <w:p>
      <w:pPr>
        <w:keepNext/>
        <w:spacing w:before="200" w:after="80"/>
      </w:pPr>
      <w:r>
        <w:rPr>
          <w:rFonts w:ascii="Segoe UI Symbol" w:hAnsi="Segoe UI Symbol"/>
        </w:rPr>
        <w:t xml:space="preserve">☐  </w:t>
      </w:r>
      <w:r>
        <w:rPr>
          <w:b/>
        </w:rPr>
        <w:t xml:space="preserve">19.3  </w:t>
      </w:r>
      <w:r>
        <w:rPr>
          <w:b/>
        </w:rPr>
        <w:t xml:space="preserve">No disguised non-competes</w:t>
      </w:r>
      <w:r>
        <w:t xml:space="preserve"> — Avoid (SHOULD NOT)</w:t>
      </w:r>
    </w:p>
    <w:p>
      <w:pPr>
        <w:spacing w:before="0" w:after="120"/>
        <w:ind w:left="540"/>
      </w:pPr>
      <w:r>
        <w:t xml:space="preserve">Read every confidentiality and non-solicit clause for what it does, because that is how an Arizona court will read it: a clause broad enough to operate as a practical bar on competition is analyzed as a non-compete whatever its heading says, and an unlimited confidentiality covenant has been struck as the equivalent of a geographically unrestricted non-compete. The fix is scope, not labels — confine the clause to actual trade secrets and confidential information with reasonable limits, knowing the trade-secrets act protects the real secrets independently and preserves contract remedies besides. </w:t>
      </w:r>
    </w:p>
    <w:p>
      <w:pPr>
        <w:keepNext/>
        <w:spacing w:before="200" w:after="80"/>
      </w:pPr>
      <w:r>
        <w:rPr>
          <w:rFonts w:ascii="Segoe UI Symbol" w:hAnsi="Segoe UI Symbol"/>
        </w:rPr>
        <w:t xml:space="preserve">☐  </w:t>
      </w:r>
      <w:r>
        <w:rPr>
          <w:b/>
        </w:rPr>
        <w:t xml:space="preserve">19.4  </w:t>
      </w:r>
      <w:r>
        <w:rPr>
          <w:b/>
        </w:rPr>
        <w:t xml:space="preserve">Sale-of-business covenant sized to the goodwill</w:t>
      </w:r>
      <w:r>
        <w:t xml:space="preserve"> — Prohibited (MUST NOT)</w:t>
      </w:r>
    </w:p>
    <w:p>
      <w:pPr>
        <w:spacing w:before="0" w:after="120"/>
        <w:ind w:left="540"/>
      </w:pPr>
      <w:r>
        <w:t xml:space="preserve">A covenant given with the sale of a business gets more room than an employment covenant — the buyer paid for the goodwill and may protect it — but the room has walls: limited as to time and space, the covenant is ordinarily valid unless it bars the seller from all business whatsoever. Check the activity, geography, and duration against the goodwill actually transferred, because a federal court applying Arizona law found a covenant unreasonable on all three dimensions, singularly and in combination, where they outran what the buyer acquired — and the no-rewrite rule meant nothing was salvaged. </w:t>
      </w:r>
    </w:p>
    <w:p>
      <w:pPr>
        <w:spacing w:before="360" w:after="0"/>
      </w:pPr>
      <w:r>
        <w:rPr>
          <w:color w:val="666666"/>
          <w:sz w:val="16"/>
          <w:szCs w:val="16"/>
        </w:rPr>
        <w:t xml:space="preserve">Steven Obiajulu, J.D. edits this review checklist for Arizona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