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pPr>
      <w:r>
        <w:rPr>
          <w:b/>
          <w:sz w:val="48"/>
          <w:szCs w:val="48"/>
        </w:rPr>
        <w:t xml:space="preserve">NVCA Certificate of Incorporation Reviewer Checklist</w:t>
      </w:r>
    </w:p>
    <w:p>
      <w:pPr>
        <w:spacing w:before="0" w:after="120"/>
      </w:pPr>
      <w:r>
        <w:rPr>
          <w:i/>
          <w:color w:val="444444"/>
        </w:rPr>
        <w:t xml:space="preserve">A clause-by-clause checklist for the NVCA amended and restated charter, covering capitalization, preferred economics, protective provisions, conversion, redemption, governance, and filing, with citations to the model and its drafting notes.</w:t>
      </w:r>
    </w:p>
    <w:p>
      <w:pPr>
        <w:spacing w:before="0" w:after="240"/>
      </w:pPr>
      <w:r>
        <w:rPr>
          <w:color w:val="666666"/>
          <w:sz w:val="18"/>
          <w:szCs w:val="18"/>
        </w:rPr>
        <w:t xml:space="preserve">By Steven Obiajulu, J.D. Last reviewed 2026-09-12. License: CC BY 4.0. https://openagreements.org/checklists/venture-financing/nvca-certificate-of-incorporation</w:t>
      </w:r>
    </w:p>
    <w:p>
      <w:pPr>
        <w:keepNext/>
        <w:spacing w:before="360" w:after="160"/>
      </w:pPr>
      <w:r>
        <w:rPr>
          <w:b/>
          <w:sz w:val="28"/>
          <w:szCs w:val="28"/>
        </w:rPr>
        <w:t xml:space="preserve">1. Identity and Capitalization</w:t>
      </w:r>
    </w:p>
    <w:p>
      <w:pPr>
        <w:spacing w:before="0" w:after="120"/>
      </w:pPr>
      <w:r>
        <w:t xml:space="preserve">Review against the October 2025 NVCA charter. See the </w:t>
      </w:r>
      <w:r>
        <w:t xml:space="preserve">practice guide</w:t>
      </w:r>
      <w:r>
        <w:t xml:space="preserve"> for choices and consequences; model examples do not establish market prevalence.</w:t>
      </w:r>
    </w:p>
    <w:p>
      <w:pPr>
        <w:keepNext/>
        <w:spacing w:before="200" w:after="80"/>
      </w:pPr>
      <w:r>
        <w:rPr>
          <w:rFonts w:ascii="Segoe UI Symbol" w:hAnsi="Segoe UI Symbol"/>
        </w:rPr>
        <w:t xml:space="preserve">☐  </w:t>
      </w:r>
      <w:r>
        <w:rPr>
          <w:b/>
        </w:rPr>
        <w:t xml:space="preserve">1.1  </w:t>
      </w:r>
      <w:r>
        <w:rPr>
          <w:b/>
        </w:rPr>
        <w:t xml:space="preserve">Corporate identity and restatement history</w:t>
      </w:r>
      <w:r>
        <w:t xml:space="preserve"> — Required (MUST)</w:t>
      </w:r>
    </w:p>
    <w:p>
      <w:pPr>
        <w:spacing w:before="0" w:after="120"/>
        <w:ind w:left="540"/>
      </w:pPr>
      <w:r>
        <w:t xml:space="preserve">Confirm the present name, original name if changed, and original filing date against the existing Delaware charter. Use an amended-and-restated heading and reconcile the introductory certification with Article First. </w:t>
      </w:r>
    </w:p>
    <w:p>
      <w:pPr>
        <w:keepNext/>
        <w:spacing w:before="200" w:after="80"/>
      </w:pPr>
      <w:r>
        <w:rPr>
          <w:rFonts w:ascii="Segoe UI Symbol" w:hAnsi="Segoe UI Symbol"/>
        </w:rPr>
        <w:t xml:space="preserve">☐  </w:t>
      </w:r>
      <w:r>
        <w:rPr>
          <w:b/>
        </w:rPr>
        <w:t xml:space="preserve">1.2  </w:t>
      </w:r>
      <w:r>
        <w:rPr>
          <w:b/>
        </w:rPr>
        <w:t xml:space="preserve">Registered office, agent, and corporate purpose</w:t>
      </w:r>
      <w:r>
        <w:t xml:space="preserve"> — Required (MUST)</w:t>
      </w:r>
    </w:p>
    <w:p>
      <w:pPr>
        <w:spacing w:before="0" w:after="120"/>
        <w:ind w:left="540"/>
      </w:pPr>
      <w:r>
        <w:t xml:space="preserve">Check the Delaware registered office and registered agent against the filing instructions. Confirm Article Third states the intended corporate purpose and that the instrument is tailored to a Delaware stock corporation. </w:t>
      </w:r>
    </w:p>
    <w:p>
      <w:pPr>
        <w:keepNext/>
        <w:spacing w:before="200" w:after="80"/>
      </w:pPr>
      <w:r>
        <w:rPr>
          <w:rFonts w:ascii="Segoe UI Symbol" w:hAnsi="Segoe UI Symbol"/>
        </w:rPr>
        <w:t xml:space="preserve">☐  </w:t>
      </w:r>
      <w:r>
        <w:rPr>
          <w:b/>
        </w:rPr>
        <w:t xml:space="preserve">1.3  </w:t>
      </w:r>
      <w:r>
        <w:rPr>
          <w:b/>
        </w:rPr>
        <w:t xml:space="preserve">Authorized shares, classes, and series</w:t>
      </w:r>
      <w:r>
        <w:t xml:space="preserve"> — Required (MUST)</w:t>
      </w:r>
    </w:p>
    <w:p>
      <w:pPr>
        <w:spacing w:before="0" w:after="120"/>
        <w:ind w:left="540"/>
      </w:pPr>
      <w:r>
        <w:t xml:space="preserve">Reconcile total authorized shares to the sum of the classes, and confirm each class’s share count, par value or no-par election, and series designation. Resolve every bracket; distinguish separate classes from series within a class, particularly for multiple common-stock voting classes. </w:t>
      </w:r>
    </w:p>
    <w:p>
      <w:pPr>
        <w:keepNext/>
        <w:spacing w:before="200" w:after="80"/>
      </w:pPr>
      <w:r>
        <w:rPr>
          <w:rFonts w:ascii="Segoe UI Symbol" w:hAnsi="Segoe UI Symbol"/>
        </w:rPr>
        <w:t xml:space="preserve">☐  </w:t>
      </w:r>
      <w:r>
        <w:rPr>
          <w:b/>
        </w:rPr>
        <w:t xml:space="preserve">1.4  </w:t>
      </w:r>
      <w:r>
        <w:rPr>
          <w:b/>
        </w:rPr>
        <w:t xml:space="preserve">Capitalization supports the financing</w:t>
      </w:r>
      <w:r>
        <w:t xml:space="preserve"> — Recommended (SHOULD)</w:t>
      </w:r>
    </w:p>
    <w:p>
      <w:pPr>
        <w:spacing w:before="0" w:after="120"/>
        <w:ind w:left="540"/>
      </w:pPr>
      <w:r>
        <w:t xml:space="preserve">Reconcile the common authorization with outstanding common, preferred conversion shares, outstanding options and warrants, and the agreed unallocated equity pool. Include the effects of convertible instruments and any dividend mechanics that require shares. Compare the preferred authorization with the shares issued at all contemplated closings. </w:t>
      </w:r>
      <w:r>
        <w:t xml:space="preserve"> </w:t>
      </w:r>
      <w:r>
        <w:t xml:space="preserve"> </w:t>
      </w:r>
    </w:p>
    <w:p>
      <w:pPr>
        <w:spacing w:before="0" w:after="120"/>
        <w:ind w:left="540"/>
      </w:pPr>
      <w:r>
        <w:rPr>
          <w:i/>
        </w:rPr>
        <w:t xml:space="preserve">Source scope: The common-share calculation follows model note 5. Comparing preferred authorization with all planned closings is reviewer synthesis; the filed reserve covenant does not establish that this reconciliation occurred.</w:t>
      </w:r>
    </w:p>
    <w:p>
      <w:pPr>
        <w:keepNext/>
        <w:spacing w:before="200" w:after="80"/>
      </w:pPr>
      <w:r>
        <w:rPr>
          <w:rFonts w:ascii="Segoe UI Symbol" w:hAnsi="Segoe UI Symbol"/>
        </w:rPr>
        <w:t xml:space="preserve">☐  </w:t>
      </w:r>
      <w:r>
        <w:rPr>
          <w:b/>
        </w:rPr>
        <w:t xml:space="preserve">1.5  </w:t>
      </w:r>
      <w:r>
        <w:rPr>
          <w:b/>
        </w:rPr>
        <w:t xml:space="preserve">Common voting and class-vote elections</w:t>
      </w:r>
      <w:r>
        <w:t xml:space="preserve"> — Recommended (SHOULD)</w:t>
      </w:r>
    </w:p>
    <w:p>
      <w:pPr>
        <w:spacing w:before="0" w:after="120"/>
        <w:ind w:left="540"/>
      </w:pPr>
      <w:r>
        <w:t xml:space="preserve">Check the one-vote baseline and deliberately resolve the provisions on preferred-only amendments, changes to authorized common shares, and cumulative voting. Ask counsel to reconcile any removal of a common class vote with the approvals required to adopt that change; identify California contacts for separate analysis. </w:t>
      </w:r>
      <w:r>
        <w:t xml:space="preserve"> </w:t>
      </w:r>
      <w:r>
        <w:t xml:space="preserve"> </w:t>
      </w:r>
    </w:p>
    <w:p>
      <w:pPr>
        <w:spacing w:before="0" w:after="120"/>
        <w:ind w:left="540"/>
      </w:pPr>
      <w:r>
        <w:rPr>
          <w:i/>
        </w:rPr>
        <w:t xml:space="preserve">Source scope: Seaport illustrates common voting and amendment elections; it supplies no cumulative-voting election. That subchoice and the California analysis come from the model and its notes, not a second filed example.</w:t>
      </w:r>
    </w:p>
    <w:p>
      <w:pPr>
        <w:keepNext/>
        <w:spacing w:before="360" w:after="160"/>
      </w:pPr>
      <w:r>
        <w:rPr>
          <w:b/>
          <w:sz w:val="28"/>
          <w:szCs w:val="28"/>
        </w:rPr>
        <w:t xml:space="preserve">2. Dividends and Liquidation Preference</w:t>
      </w:r>
    </w:p>
    <w:p>
      <w:pPr>
        <w:keepNext/>
        <w:spacing w:before="200" w:after="80"/>
      </w:pPr>
      <w:r>
        <w:rPr>
          <w:rFonts w:ascii="Segoe UI Symbol" w:hAnsi="Segoe UI Symbol"/>
        </w:rPr>
        <w:t xml:space="preserve">☐  </w:t>
      </w:r>
      <w:r>
        <w:rPr>
          <w:b/>
        </w:rPr>
        <w:t xml:space="preserve">2.1  </w:t>
      </w:r>
      <w:r>
        <w:rPr>
          <w:b/>
        </w:rPr>
        <w:t xml:space="preserve">One coherent dividend alternative</w:t>
      </w:r>
      <w:r>
        <w:t xml:space="preserve"> — Recommended (SHOULD)</w:t>
      </w:r>
    </w:p>
    <w:p>
      <w:pPr>
        <w:spacing w:before="0" w:after="120"/>
        <w:ind w:left="540"/>
      </w:pPr>
      <w:r>
        <w:t xml:space="preserve">Select and reconcile the agreed dividend structure: shared dividends only, a specified noncumulative preference, or accruing dividends. Remove the unused alternatives. Check the rate, Original Issue Price, annual payment logic, and priority among series against the term sheet. </w:t>
      </w:r>
      <w:r>
        <w:t xml:space="preserve"> </w:t>
      </w:r>
    </w:p>
    <w:p>
      <w:pPr>
        <w:keepNext/>
        <w:spacing w:before="200" w:after="80"/>
      </w:pPr>
      <w:r>
        <w:rPr>
          <w:rFonts w:ascii="Segoe UI Symbol" w:hAnsi="Segoe UI Symbol"/>
        </w:rPr>
        <w:t xml:space="preserve">☐  </w:t>
      </w:r>
      <w:r>
        <w:rPr>
          <w:b/>
        </w:rPr>
        <w:t xml:space="preserve">2.2  </w:t>
      </w:r>
      <w:r>
        <w:rPr>
          <w:b/>
        </w:rPr>
        <w:t xml:space="preserve">Accrual, compounding, and payment events</w:t>
      </w:r>
      <w:r>
        <w:t xml:space="preserve"> — Optional (MAY)</w:t>
      </w:r>
    </w:p>
    <w:p>
      <w:pPr>
        <w:spacing w:before="0" w:after="120"/>
        <w:ind w:left="540"/>
      </w:pPr>
      <w:r>
        <w:t xml:space="preserve">If accruing dividends are negotiated, specify the rate or amount, accrual start, and any compounding base and interval. A fixed dollar accrual does not itself compound. Reconcile treatment on liquidation, redemption, and conversion, and check that reciprocal dividend provisions across series do not create circular payment obligations. </w:t>
      </w:r>
    </w:p>
    <w:p>
      <w:pPr>
        <w:keepNext/>
        <w:spacing w:before="200" w:after="80"/>
      </w:pPr>
      <w:r>
        <w:rPr>
          <w:rFonts w:ascii="Segoe UI Symbol" w:hAnsi="Segoe UI Symbol"/>
        </w:rPr>
        <w:t xml:space="preserve">☐  </w:t>
      </w:r>
      <w:r>
        <w:rPr>
          <w:b/>
        </w:rPr>
        <w:t xml:space="preserve">2.3  </w:t>
      </w:r>
      <w:r>
        <w:rPr>
          <w:b/>
        </w:rPr>
        <w:t xml:space="preserve">Preference multiple and participation</w:t>
      </w:r>
      <w:r>
        <w:t xml:space="preserve"> — Recommended (SHOULD)</w:t>
      </w:r>
    </w:p>
    <w:p>
      <w:pPr>
        <w:spacing w:before="0" w:after="120"/>
        <w:ind w:left="540"/>
      </w:pPr>
      <w:r>
        <w:t xml:space="preserve">Check the preference multiple, Original Issue Price, and unpaid-dividend treatment. Select nonparticipating or participating preferred deliberately; if participation is capped, state the cap and preserve the agreed comparison with conversion proceeds. Model payouts below the preference, above the preference, and above any cap. </w:t>
      </w:r>
      <w:r>
        <w:t xml:space="preserve"> </w:t>
      </w:r>
    </w:p>
    <w:p>
      <w:pPr>
        <w:keepNext/>
        <w:spacing w:before="200" w:after="80"/>
      </w:pPr>
      <w:r>
        <w:rPr>
          <w:rFonts w:ascii="Segoe UI Symbol" w:hAnsi="Segoe UI Symbol"/>
        </w:rPr>
        <w:t xml:space="preserve">☐  </w:t>
      </w:r>
      <w:r>
        <w:rPr>
          <w:b/>
        </w:rPr>
        <w:t xml:space="preserve">2.4  </w:t>
      </w:r>
      <w:r>
        <w:rPr>
          <w:b/>
        </w:rPr>
        <w:t xml:space="preserve">Seniority and shortfall allocation</w:t>
      </w:r>
      <w:r>
        <w:t xml:space="preserve"> — Recommended (SHOULD)</w:t>
      </w:r>
    </w:p>
    <w:p>
      <w:pPr>
        <w:spacing w:before="0" w:after="120"/>
        <w:ind w:left="540"/>
      </w:pPr>
      <w:r>
        <w:t xml:space="preserve">For more than one preferred series, verify the negotiated seniority, pari passu sharing, and shortfall allocation throughout the waterfall. Run the as-converted comparison across all affected series rather than assuming every holder benefits from the same election. Reconcile the residual common distribution with the selected participation alternative. </w:t>
      </w:r>
      <w:r>
        <w:t xml:space="preserve"> </w:t>
      </w:r>
    </w:p>
    <w:p>
      <w:pPr>
        <w:keepNext/>
        <w:spacing w:before="360" w:after="160"/>
      </w:pPr>
      <w:r>
        <w:rPr>
          <w:b/>
          <w:sz w:val="28"/>
          <w:szCs w:val="28"/>
        </w:rPr>
        <w:t xml:space="preserve">3. Deemed Liquidation Events</w:t>
      </w:r>
    </w:p>
    <w:p>
      <w:pPr>
        <w:keepNext/>
        <w:spacing w:before="200" w:after="80"/>
      </w:pPr>
      <w:r>
        <w:rPr>
          <w:rFonts w:ascii="Segoe UI Symbol" w:hAnsi="Segoe UI Symbol"/>
        </w:rPr>
        <w:t xml:space="preserve">☐  </w:t>
      </w:r>
      <w:r>
        <w:rPr>
          <w:b/>
        </w:rPr>
        <w:t xml:space="preserve">3.1  </w:t>
      </w:r>
      <w:r>
        <w:rPr>
          <w:b/>
        </w:rPr>
        <w:t xml:space="preserve">Transaction triggers and continuity exception</w:t>
      </w:r>
      <w:r>
        <w:t xml:space="preserve"> — Recommended (SHOULD)</w:t>
      </w:r>
    </w:p>
    <w:p>
      <w:pPr>
        <w:spacing w:before="0" w:after="120"/>
        <w:ind w:left="540"/>
      </w:pPr>
      <w:r>
        <w:t xml:space="preserve">Check the merger, consolidation, statutory conversion, transfer of the corporation, domestication, continuance, and asset-disposition triggers in § 2.3.1. Resolve the continuity-of-ownership exception and whether it tests voting power. Distinguish a transfer of the corporation from a stockholder’s transfer of shares; the October 2025 note specifically flags this distinction. </w:t>
      </w:r>
      <w:r>
        <w:t xml:space="preserve"> </w:t>
      </w:r>
    </w:p>
    <w:p>
      <w:pPr>
        <w:keepNext/>
        <w:spacing w:before="200" w:after="80"/>
      </w:pPr>
      <w:r>
        <w:rPr>
          <w:rFonts w:ascii="Segoe UI Symbol" w:hAnsi="Segoe UI Symbol"/>
        </w:rPr>
        <w:t xml:space="preserve">☐  </w:t>
      </w:r>
      <w:r>
        <w:rPr>
          <w:b/>
        </w:rPr>
        <w:t xml:space="preserve">3.2  </w:t>
      </w:r>
      <w:r>
        <w:rPr>
          <w:b/>
        </w:rPr>
        <w:t xml:space="preserve">Business sales, licenses, and subsidiaries</w:t>
      </w:r>
      <w:r>
        <w:t xml:space="preserve"> — Recommended (SHOULD)</w:t>
      </w:r>
    </w:p>
    <w:p>
      <w:pPr>
        <w:spacing w:before="0" w:after="120"/>
        <w:ind w:left="540"/>
      </w:pPr>
      <w:r>
        <w:t xml:space="preserve">Review the asset-sale and exclusive-license language against the company’s actual business. Flag a proposed sale that leaves material intellectual property behind: NVCA’s note suggests considering a business-or-assets formulation where an assets-only test could miss the intended transaction. Check the subsidiary-sale and wholly-owned-subsidiary exceptions. </w:t>
      </w:r>
      <w:r>
        <w:t xml:space="preserve"> </w:t>
      </w:r>
    </w:p>
    <w:p>
      <w:pPr>
        <w:keepNext/>
        <w:spacing w:before="200" w:after="80"/>
      </w:pPr>
      <w:r>
        <w:rPr>
          <w:rFonts w:ascii="Segoe UI Symbol" w:hAnsi="Segoe UI Symbol"/>
        </w:rPr>
        <w:t xml:space="preserve">☐  </w:t>
      </w:r>
      <w:r>
        <w:rPr>
          <w:b/>
        </w:rPr>
        <w:t xml:space="preserve">3.3  </w:t>
      </w:r>
      <w:r>
        <w:rPr>
          <w:b/>
        </w:rPr>
        <w:t xml:space="preserve">Ordinary financing exclusion</w:t>
      </w:r>
      <w:r>
        <w:t xml:space="preserve"> — Optional (MAY)</w:t>
      </w:r>
    </w:p>
    <w:p>
      <w:pPr>
        <w:spacing w:before="0" w:after="120"/>
        <w:ind w:left="540"/>
      </w:pPr>
      <w:r>
        <w:t xml:space="preserve">Consider the October 2025 clarification that a bona fide preferred equity financing alone is not a Deemed Liquidation Event. If adopted, reconcile it with the transaction triggers and the financing’s actual structure. </w:t>
      </w:r>
    </w:p>
    <w:p>
      <w:pPr>
        <w:keepNext/>
        <w:spacing w:before="200" w:after="80"/>
      </w:pPr>
      <w:r>
        <w:rPr>
          <w:rFonts w:ascii="Segoe UI Symbol" w:hAnsi="Segoe UI Symbol"/>
        </w:rPr>
        <w:t xml:space="preserve">☐  </w:t>
      </w:r>
      <w:r>
        <w:rPr>
          <w:b/>
        </w:rPr>
        <w:t xml:space="preserve">3.4  </w:t>
      </w:r>
      <w:r>
        <w:rPr>
          <w:b/>
        </w:rPr>
        <w:t xml:space="preserve">Requisite Holders and waiver scope</w:t>
      </w:r>
      <w:r>
        <w:t xml:space="preserve"> — Recommended (SHOULD)</w:t>
      </w:r>
    </w:p>
    <w:p>
      <w:pPr>
        <w:spacing w:before="0" w:after="120"/>
        <w:ind w:left="540"/>
      </w:pPr>
      <w:r>
        <w:t xml:space="preserve">Fill the Requisite Holders threshold and calculate which holders can satisfy it after anti-dilution adjustments. Match the intended class and series protections. Distinguish waiving deemed-liquidation treatment from agreeing to a reduced preference; NVCA’s notes direct the latter negotiation to a charter amendment before the transaction becomes effective. </w:t>
      </w:r>
      <w:r>
        <w:t xml:space="preserve"> </w:t>
      </w:r>
    </w:p>
    <w:p>
      <w:pPr>
        <w:keepNext/>
        <w:spacing w:before="200" w:after="80"/>
      </w:pPr>
      <w:r>
        <w:rPr>
          <w:rFonts w:ascii="Segoe UI Symbol" w:hAnsi="Segoe UI Symbol"/>
        </w:rPr>
        <w:t xml:space="preserve">☐  </w:t>
      </w:r>
      <w:r>
        <w:rPr>
          <w:b/>
        </w:rPr>
        <w:t xml:space="preserve">3.5  </w:t>
      </w:r>
      <w:r>
        <w:rPr>
          <w:b/>
        </w:rPr>
        <w:t xml:space="preserve">Transaction allocation and retained proceeds</w:t>
      </w:r>
      <w:r>
        <w:t xml:space="preserve"> — Recommended (SHOULD)</w:t>
      </w:r>
    </w:p>
    <w:p>
      <w:pPr>
        <w:spacing w:before="0" w:after="120"/>
        <w:ind w:left="540"/>
      </w:pPr>
      <w:r>
        <w:t xml:space="preserve">Check that the transaction document applies the selected waterfall. If the optional post-disposition redemption mechanism is retained, calendar its notice, holder-request, and redemption deadlines and address any extension for contractual distribution restrictions. Preserve the lawful-distribution condition and reconcile this mechanism with the separate § 6 redemption election. </w:t>
      </w:r>
      <w:r>
        <w:t xml:space="preserve"> </w:t>
      </w:r>
    </w:p>
    <w:p>
      <w:pPr>
        <w:keepNext/>
        <w:spacing w:before="200" w:after="80"/>
      </w:pPr>
      <w:r>
        <w:rPr>
          <w:rFonts w:ascii="Segoe UI Symbol" w:hAnsi="Segoe UI Symbol"/>
        </w:rPr>
        <w:t xml:space="preserve">☐  </w:t>
      </w:r>
      <w:r>
        <w:rPr>
          <w:b/>
        </w:rPr>
        <w:t xml:space="preserve">3.6  </w:t>
      </w:r>
      <w:r>
        <w:rPr>
          <w:b/>
        </w:rPr>
        <w:t xml:space="preserve">Valuation of noncash consideration</w:t>
      </w:r>
      <w:r>
        <w:t xml:space="preserve"> — Recommended (SHOULD)</w:t>
      </w:r>
    </w:p>
    <w:p>
      <w:pPr>
        <w:spacing w:before="0" w:after="120"/>
        <w:ind w:left="540"/>
      </w:pPr>
      <w:r>
        <w:t xml:space="preserve">Check who values property, rights, or securities and whether preferred-director approval is required. If an investor objection or appraisal process is negotiated, specify the appointment process, costs, timing, and whether the appraisal is binding. </w:t>
      </w:r>
      <w:r>
        <w:t xml:space="preserve"> </w:t>
      </w:r>
    </w:p>
    <w:p>
      <w:pPr>
        <w:keepNext/>
        <w:spacing w:before="200" w:after="80"/>
      </w:pPr>
      <w:r>
        <w:rPr>
          <w:rFonts w:ascii="Segoe UI Symbol" w:hAnsi="Segoe UI Symbol"/>
        </w:rPr>
        <w:t xml:space="preserve">☐  </w:t>
      </w:r>
      <w:r>
        <w:rPr>
          <w:b/>
        </w:rPr>
        <w:t xml:space="preserve">3.7  </w:t>
      </w:r>
      <w:r>
        <w:rPr>
          <w:b/>
        </w:rPr>
        <w:t xml:space="preserve">Escrow, holdbacks, and contingent payments</w:t>
      </w:r>
      <w:r>
        <w:t xml:space="preserve"> — Recommended (SHOULD)</w:t>
      </w:r>
    </w:p>
    <w:p>
      <w:pPr>
        <w:spacing w:before="0" w:after="120"/>
        <w:ind w:left="540"/>
      </w:pPr>
      <w:r>
        <w:t xml:space="preserve">Resolve whether escrow and indemnity holdbacks are Initial Consideration or Additional Consideration. Model both release and forfeiture, and reapply the waterfall when earn-outs are paid while crediting prior distributions. NVCA’s footnote explains why treating escrow as Initial Consideration can leave preferred holders below their preference if the escrow is forfeited. </w:t>
      </w:r>
      <w:r>
        <w:t xml:space="preserve"> </w:t>
      </w:r>
    </w:p>
    <w:p>
      <w:pPr>
        <w:keepNext/>
        <w:spacing w:before="360" w:after="160"/>
      </w:pPr>
      <w:r>
        <w:rPr>
          <w:b/>
          <w:sz w:val="28"/>
          <w:szCs w:val="28"/>
        </w:rPr>
        <w:t xml:space="preserve">4. Voting and Protective Provisions</w:t>
      </w:r>
    </w:p>
    <w:p>
      <w:pPr>
        <w:keepNext/>
        <w:spacing w:before="200" w:after="80"/>
      </w:pPr>
      <w:r>
        <w:rPr>
          <w:rFonts w:ascii="Segoe UI Symbol" w:hAnsi="Segoe UI Symbol"/>
        </w:rPr>
        <w:t xml:space="preserve">☐  </w:t>
      </w:r>
      <w:r>
        <w:rPr>
          <w:b/>
        </w:rPr>
        <w:t xml:space="preserve">4.1  </w:t>
      </w:r>
      <w:r>
        <w:rPr>
          <w:b/>
        </w:rPr>
        <w:t xml:space="preserve">As-converted voting and record dates</w:t>
      </w:r>
      <w:r>
        <w:t xml:space="preserve"> — Recommended (SHOULD)</w:t>
      </w:r>
    </w:p>
    <w:p>
      <w:pPr>
        <w:spacing w:before="0" w:after="120"/>
        <w:ind w:left="540"/>
      </w:pPr>
      <w:r>
        <w:t xml:space="preserve">Reconcile the preferred voting calculation with the conversion provisions and capitalization records at the applicable record date. Identify separately the votes for general matters, director elections, protective provisions, and mandatory conversion; one threshold does not answer all four questions. </w:t>
      </w:r>
      <w:r>
        <w:t xml:space="preserve"> </w:t>
      </w:r>
    </w:p>
    <w:p>
      <w:pPr>
        <w:keepNext/>
        <w:spacing w:before="200" w:after="80"/>
      </w:pPr>
      <w:r>
        <w:rPr>
          <w:rFonts w:ascii="Segoe UI Symbol" w:hAnsi="Segoe UI Symbol"/>
        </w:rPr>
        <w:t xml:space="preserve">☐  </w:t>
      </w:r>
      <w:r>
        <w:rPr>
          <w:b/>
        </w:rPr>
        <w:t xml:space="preserve">4.2  </w:t>
      </w:r>
      <w:r>
        <w:rPr>
          <w:b/>
        </w:rPr>
        <w:t xml:space="preserve">Class seats, at-large seats, and vacancies</w:t>
      </w:r>
      <w:r>
        <w:t xml:space="preserve"> — Recommended (SHOULD)</w:t>
      </w:r>
    </w:p>
    <w:p>
      <w:pPr>
        <w:spacing w:before="0" w:after="120"/>
        <w:ind w:left="540"/>
      </w:pPr>
      <w:r>
        <w:t xml:space="preserve">Fill the preferred and common seat counts and the outstanding-share threshold, then reconcile the balance of seats with the bylaws and Voting Agreement. Check initial appointments, removal, vacancies, and election quorum. Confirm that a contractual designation under the Voting Agreement is implemented through the charter’s proper election mechanism. </w:t>
      </w:r>
      <w:r>
        <w:t xml:space="preserve"> </w:t>
      </w:r>
    </w:p>
    <w:p>
      <w:pPr>
        <w:keepNext/>
        <w:spacing w:before="200" w:after="80"/>
      </w:pPr>
      <w:r>
        <w:rPr>
          <w:rFonts w:ascii="Segoe UI Symbol" w:hAnsi="Segoe UI Symbol"/>
        </w:rPr>
        <w:t xml:space="preserve">☐  </w:t>
      </w:r>
      <w:r>
        <w:rPr>
          <w:b/>
        </w:rPr>
        <w:t xml:space="preserve">4.3  </w:t>
      </w:r>
      <w:r>
        <w:rPr>
          <w:b/>
        </w:rPr>
        <w:t xml:space="preserve">Preferred-director approval threshold</w:t>
      </w:r>
      <w:r>
        <w:t xml:space="preserve"> — Recommended (SHOULD)</w:t>
      </w:r>
    </w:p>
    <w:p>
      <w:pPr>
        <w:spacing w:before="0" w:after="120"/>
        <w:ind w:left="540"/>
      </w:pPr>
      <w:r>
        <w:t xml:space="preserve">Define Requisite Directors and confirm whether approval needs one, a majority, or another specified number of seated Preferred Directors. Test vacancies and the loss of a preferred seat against every provision using that term. </w:t>
      </w:r>
      <w:r>
        <w:t xml:space="preserve"> </w:t>
      </w:r>
    </w:p>
    <w:p>
      <w:pPr>
        <w:keepNext/>
        <w:spacing w:before="200" w:after="80"/>
      </w:pPr>
      <w:r>
        <w:rPr>
          <w:rFonts w:ascii="Segoe UI Symbol" w:hAnsi="Segoe UI Symbol"/>
        </w:rPr>
        <w:t xml:space="preserve">☐  </w:t>
      </w:r>
      <w:r>
        <w:rPr>
          <w:b/>
        </w:rPr>
        <w:t xml:space="preserve">4.4  </w:t>
      </w:r>
      <w:r>
        <w:rPr>
          <w:b/>
        </w:rPr>
        <w:t xml:space="preserve">Holder threshold, sunset, and timing</w:t>
      </w:r>
      <w:r>
        <w:t xml:space="preserve"> — Recommended (SHOULD)</w:t>
      </w:r>
    </w:p>
    <w:p>
      <w:pPr>
        <w:spacing w:before="0" w:after="120"/>
        <w:ind w:left="540"/>
      </w:pPr>
      <w:r>
        <w:t xml:space="preserve">Complete the outstanding-share threshold and Requisite Holders definition. Check whether consent is required to effect the transaction, preserving the distinction from preliminary board approval. If the optional voidness language is selected, have counsel review its remedial consequences; do not treat it as ordinary stylistic boilerplate. </w:t>
      </w:r>
      <w:r>
        <w:t xml:space="preserve"> </w:t>
      </w:r>
    </w:p>
    <w:p>
      <w:pPr>
        <w:keepNext/>
        <w:spacing w:before="200" w:after="80"/>
      </w:pPr>
      <w:r>
        <w:rPr>
          <w:rFonts w:ascii="Segoe UI Symbol" w:hAnsi="Segoe UI Symbol"/>
        </w:rPr>
        <w:t xml:space="preserve">☐  </w:t>
      </w:r>
      <w:r>
        <w:rPr>
          <w:b/>
        </w:rPr>
        <w:t xml:space="preserve">4.5  </w:t>
      </w:r>
      <w:r>
        <w:rPr>
          <w:b/>
        </w:rPr>
        <w:t xml:space="preserve">Charter changes and senior securities</w:t>
      </w:r>
      <w:r>
        <w:t xml:space="preserve"> — Recommended (SHOULD)</w:t>
      </w:r>
    </w:p>
    <w:p>
      <w:pPr>
        <w:spacing w:before="0" w:after="120"/>
        <w:ind w:left="540"/>
      </w:pPr>
      <w:r>
        <w:t xml:space="preserve">Review consent rights over charter and bylaw amendments, senior or pari passu securities, and changes to authorized shares. If convertible-security issuance is intended to be covered, make that explicit. For multiple common classes, check that the defined terms cover each intended class. </w:t>
      </w:r>
      <w:r>
        <w:t xml:space="preserve"> </w:t>
      </w:r>
    </w:p>
    <w:p>
      <w:pPr>
        <w:keepNext/>
        <w:spacing w:before="200" w:after="80"/>
      </w:pPr>
      <w:r>
        <w:rPr>
          <w:rFonts w:ascii="Segoe UI Symbol" w:hAnsi="Segoe UI Symbol"/>
        </w:rPr>
        <w:t xml:space="preserve">☐  </w:t>
      </w:r>
      <w:r>
        <w:rPr>
          <w:b/>
        </w:rPr>
        <w:t xml:space="preserve">4.6  </w:t>
      </w:r>
      <w:r>
        <w:rPr>
          <w:b/>
        </w:rPr>
        <w:t xml:space="preserve">Liquidation, reorganization, and jurisdiction moves</w:t>
      </w:r>
      <w:r>
        <w:t xml:space="preserve"> — Recommended (SHOULD)</w:t>
      </w:r>
    </w:p>
    <w:p>
      <w:pPr>
        <w:spacing w:before="0" w:after="120"/>
        <w:ind w:left="540"/>
      </w:pPr>
      <w:r>
        <w:t xml:space="preserve">Check the consent rights over liquidation and Deemed Liquidation Events and the optional protection for reorganizations delivering materially less favorable securities. If investors want a veto over a move to another jurisdiction itself, negotiate that separately; NVCA’s October 2025 footnote calls for a separate protective provision for a jurisdiction block; the less-favorable-rights clause should not be assumed to provide that separate protection. </w:t>
      </w:r>
      <w:r>
        <w:t xml:space="preserve"> </w:t>
      </w:r>
      <w:r>
        <w:t xml:space="preserve"> </w:t>
      </w:r>
    </w:p>
    <w:p>
      <w:pPr>
        <w:spacing w:before="0" w:after="120"/>
        <w:ind w:left="540"/>
      </w:pPr>
      <w:r>
        <w:rPr>
          <w:i/>
        </w:rPr>
        <w:t xml:space="preserve">Source scope: Seaport illustrates express jurisdiction protections, but not the model’s materially-less-favorable-securities alternative. The two provisions are not interchangeable examples.</w:t>
      </w:r>
    </w:p>
    <w:p>
      <w:pPr>
        <w:keepNext/>
        <w:spacing w:before="200" w:after="80"/>
      </w:pPr>
      <w:r>
        <w:rPr>
          <w:rFonts w:ascii="Segoe UI Symbol" w:hAnsi="Segoe UI Symbol"/>
        </w:rPr>
        <w:t xml:space="preserve">☐  </w:t>
      </w:r>
      <w:r>
        <w:rPr>
          <w:b/>
        </w:rPr>
        <w:t xml:space="preserve">4.7  </w:t>
      </w:r>
      <w:r>
        <w:rPr>
          <w:b/>
        </w:rPr>
        <w:t xml:space="preserve">Distributions, subsidiaries, and board structure</w:t>
      </w:r>
      <w:r>
        <w:t xml:space="preserve"> — Recommended (SHOULD)</w:t>
      </w:r>
    </w:p>
    <w:p>
      <w:pPr>
        <w:spacing w:before="0" w:after="120"/>
        <w:ind w:left="540"/>
      </w:pPr>
      <w:r>
        <w:t xml:space="preserve">Check the restrictions and exceptions for repurchases, dividends, subsidiary ownership and dispositions, and changes to board size or director voting power. Reconcile the service-provider repurchase exception with the actual equity documents and any required Requisite Directors approval. </w:t>
      </w:r>
      <w:r>
        <w:t xml:space="preserve"> </w:t>
      </w:r>
    </w:p>
    <w:p>
      <w:pPr>
        <w:keepNext/>
        <w:spacing w:before="200" w:after="80"/>
      </w:pPr>
      <w:r>
        <w:rPr>
          <w:rFonts w:ascii="Segoe UI Symbol" w:hAnsi="Segoe UI Symbol"/>
        </w:rPr>
        <w:t xml:space="preserve">☐  </w:t>
      </w:r>
      <w:r>
        <w:rPr>
          <w:b/>
        </w:rPr>
        <w:t xml:space="preserve">4.8  </w:t>
      </w:r>
      <w:r>
        <w:rPr>
          <w:b/>
        </w:rPr>
        <w:t xml:space="preserve">Optional operating-consent package</w:t>
      </w:r>
      <w:r>
        <w:t xml:space="preserve"> — Optional (MAY)</w:t>
      </w:r>
    </w:p>
    <w:p>
      <w:pPr>
        <w:spacing w:before="0" w:after="120"/>
        <w:ind w:left="540"/>
      </w:pPr>
      <w:r>
        <w:t xml:space="preserve">If § 3.3.9 is used, review each selected restriction: debt and liens, equity plans, loans and guarantees, executive matters, budgets, equity grants to significant holders, board committee composition, tokens, material contracts, acquihires, and real-estate leases. Fill company-appropriate limits and identify which actions can instead receive Requisite Directors approval. Compare the Investors’ Rights Agreement so the October 2025 relocation of these provisions does not produce omissions or inconsistent duplicate consents. </w:t>
      </w:r>
    </w:p>
    <w:p>
      <w:pPr>
        <w:keepNext/>
        <w:spacing w:before="360" w:after="160"/>
      </w:pPr>
      <w:r>
        <w:rPr>
          <w:b/>
          <w:sz w:val="28"/>
          <w:szCs w:val="28"/>
        </w:rPr>
        <w:t xml:space="preserve">5. Optional Conversion and Anti-Dilution</w:t>
      </w:r>
    </w:p>
    <w:p>
      <w:pPr>
        <w:keepNext/>
        <w:spacing w:before="200" w:after="80"/>
      </w:pPr>
      <w:r>
        <w:rPr>
          <w:rFonts w:ascii="Segoe UI Symbol" w:hAnsi="Segoe UI Symbol"/>
        </w:rPr>
        <w:t xml:space="preserve">☐  </w:t>
      </w:r>
      <w:r>
        <w:rPr>
          <w:b/>
        </w:rPr>
        <w:t xml:space="preserve">5.1  </w:t>
      </w:r>
      <w:r>
        <w:rPr>
          <w:b/>
        </w:rPr>
        <w:t xml:space="preserve">Original Issue Price and Conversion Price</w:t>
      </w:r>
      <w:r>
        <w:t xml:space="preserve"> — Recommended (SHOULD)</w:t>
      </w:r>
    </w:p>
    <w:p>
      <w:pPr>
        <w:spacing w:before="0" w:after="120"/>
        <w:ind w:left="540"/>
      </w:pPr>
      <w:r>
        <w:t xml:space="preserve">Check the initial Conversion Price against the agreed issue price and calculate the resulting conversion ratio. Reconcile each series and any existing adjustments. The ratio uses Original Issue Price; do not assume accruing dividends automatically increase the conversion numerator. </w:t>
      </w:r>
      <w:r>
        <w:t xml:space="preserve"> </w:t>
      </w:r>
    </w:p>
    <w:p>
      <w:pPr>
        <w:keepNext/>
        <w:spacing w:before="200" w:after="80"/>
      </w:pPr>
      <w:r>
        <w:rPr>
          <w:rFonts w:ascii="Segoe UI Symbol" w:hAnsi="Segoe UI Symbol"/>
        </w:rPr>
        <w:t xml:space="preserve">☐  </w:t>
      </w:r>
      <w:r>
        <w:rPr>
          <w:b/>
        </w:rPr>
        <w:t xml:space="preserve">5.2  </w:t>
      </w:r>
      <w:r>
        <w:rPr>
          <w:b/>
        </w:rPr>
        <w:t xml:space="preserve">Holder-level aggregation and rounding</w:t>
      </w:r>
      <w:r>
        <w:t xml:space="preserve"> — Recommended (SHOULD)</w:t>
      </w:r>
    </w:p>
    <w:p>
      <w:pPr>
        <w:spacing w:before="0" w:after="120"/>
        <w:ind w:left="540"/>
      </w:pPr>
      <w:r>
        <w:t xml:space="preserve">Confirm the capitalization system aggregates the same holder’s converting shares of the same series before rounding to the nearest whole common share. Test a holder with multiple certificates and a half-share result; certificate-by-certificate rounding can produce a different answer. </w:t>
      </w:r>
      <w:r>
        <w:t xml:space="preserve"> </w:t>
      </w:r>
    </w:p>
    <w:p>
      <w:pPr>
        <w:keepNext/>
        <w:spacing w:before="200" w:after="80"/>
      </w:pPr>
      <w:r>
        <w:rPr>
          <w:rFonts w:ascii="Segoe UI Symbol" w:hAnsi="Segoe UI Symbol"/>
        </w:rPr>
        <w:t xml:space="preserve">☐  </w:t>
      </w:r>
      <w:r>
        <w:rPr>
          <w:b/>
        </w:rPr>
        <w:t xml:space="preserve">5.3  </w:t>
      </w:r>
      <w:r>
        <w:rPr>
          <w:b/>
        </w:rPr>
        <w:t xml:space="preserve">Notice, certificates, taxes, and termination</w:t>
      </w:r>
      <w:r>
        <w:t xml:space="preserve"> — Recommended (SHOULD)</w:t>
      </w:r>
    </w:p>
    <w:p>
      <w:pPr>
        <w:spacing w:before="0" w:after="120"/>
        <w:ind w:left="540"/>
      </w:pPr>
      <w:r>
        <w:t xml:space="preserve">Check voluntary-conversion notice and timing, lost-certificate and uncertificated-share handling, replacement evidence for unconverted shares, and payment of declared dividends. Reconcile transfer taxes and the end of conversion rights at redemption or liquidation, including continuation where the redemption price is unpaid. </w:t>
      </w:r>
      <w:r>
        <w:t xml:space="preserve"> </w:t>
      </w:r>
    </w:p>
    <w:p>
      <w:pPr>
        <w:keepNext/>
        <w:spacing w:before="200" w:after="80"/>
      </w:pPr>
      <w:r>
        <w:rPr>
          <w:rFonts w:ascii="Segoe UI Symbol" w:hAnsi="Segoe UI Symbol"/>
        </w:rPr>
        <w:t xml:space="preserve">☐  </w:t>
      </w:r>
      <w:r>
        <w:rPr>
          <w:b/>
        </w:rPr>
        <w:t xml:space="preserve">5.4  </w:t>
      </w:r>
      <w:r>
        <w:rPr>
          <w:b/>
        </w:rPr>
        <w:t xml:space="preserve">Common-share reserve and par-value floor</w:t>
      </w:r>
      <w:r>
        <w:t xml:space="preserve"> — Recommended (SHOULD)</w:t>
      </w:r>
    </w:p>
    <w:p>
      <w:pPr>
        <w:spacing w:before="0" w:after="120"/>
        <w:ind w:left="540"/>
      </w:pPr>
      <w:r>
        <w:t xml:space="preserve">Confirm the reserve covenant and the undertaking to obtain any needed increase in authorized common shares. Check the mechanism for an adjustment that would put the Conversion Price below common par value with counsel before the adjustment is implemented. </w:t>
      </w:r>
      <w:r>
        <w:t xml:space="preserve"> </w:t>
      </w:r>
    </w:p>
    <w:p>
      <w:pPr>
        <w:keepNext/>
        <w:spacing w:before="200" w:after="80"/>
      </w:pPr>
      <w:r>
        <w:rPr>
          <w:rFonts w:ascii="Segoe UI Symbol" w:hAnsi="Segoe UI Symbol"/>
        </w:rPr>
        <w:t xml:space="preserve">☐  </w:t>
      </w:r>
      <w:r>
        <w:rPr>
          <w:b/>
        </w:rPr>
        <w:t xml:space="preserve">5.5  </w:t>
      </w:r>
      <w:r>
        <w:rPr>
          <w:b/>
        </w:rPr>
        <w:t xml:space="preserve">Anti-dilution exclusions and approvals</w:t>
      </w:r>
      <w:r>
        <w:t xml:space="preserve"> — Recommended (SHOULD)</w:t>
      </w:r>
    </w:p>
    <w:p>
      <w:pPr>
        <w:spacing w:before="0" w:after="120"/>
        <w:ind w:left="540"/>
      </w:pPr>
      <w:r>
        <w:t xml:space="preserve">Review each exclusion from Additional Shares of Common Stock, including equity compensation, lending or leasing, vendors, acquisitions, public offerings, and strategic arrangements. Fill any share caps and preferred-director approval conditions; reconcile outstanding instruments and the Original Issue Date. Do not assume every bracketed exclusion belongs in the deal. </w:t>
      </w:r>
      <w:r>
        <w:t xml:space="preserve"> </w:t>
      </w:r>
    </w:p>
    <w:p>
      <w:pPr>
        <w:keepNext/>
        <w:spacing w:before="200" w:after="80"/>
      </w:pPr>
      <w:r>
        <w:rPr>
          <w:rFonts w:ascii="Segoe UI Symbol" w:hAnsi="Segoe UI Symbol"/>
        </w:rPr>
        <w:t xml:space="preserve">☐  </w:t>
      </w:r>
      <w:r>
        <w:rPr>
          <w:b/>
        </w:rPr>
        <w:t xml:space="preserve">5.6  </w:t>
      </w:r>
      <w:r>
        <w:rPr>
          <w:b/>
        </w:rPr>
        <w:t xml:space="preserve">Weighted average or full ratchet</w:t>
      </w:r>
      <w:r>
        <w:t xml:space="preserve"> — Recommended (SHOULD)</w:t>
      </w:r>
    </w:p>
    <w:p>
      <w:pPr>
        <w:spacing w:before="0" w:after="120"/>
        <w:ind w:left="540"/>
      </w:pPr>
      <w:r>
        <w:t xml:space="preserve">Select the negotiated § 4.4.4 alternative. For weighted average, test CP2 = CP1 × (A + B) / (A + C), using the draft’s precise definition of A rather than a generic fully diluted cap table. Record whether ungranted pool shares are included. For full ratchet, confirm the reset and no-consideration treatment. </w:t>
      </w:r>
      <w:r>
        <w:t xml:space="preserve"> </w:t>
      </w:r>
    </w:p>
    <w:p>
      <w:pPr>
        <w:keepNext/>
        <w:spacing w:before="200" w:after="80"/>
      </w:pPr>
      <w:r>
        <w:rPr>
          <w:rFonts w:ascii="Segoe UI Symbol" w:hAnsi="Segoe UI Symbol"/>
        </w:rPr>
        <w:t xml:space="preserve">☐  </w:t>
      </w:r>
      <w:r>
        <w:rPr>
          <w:b/>
        </w:rPr>
        <w:t xml:space="preserve">5.7  </w:t>
      </w:r>
      <w:r>
        <w:rPr>
          <w:b/>
        </w:rPr>
        <w:t xml:space="preserve">Full-ratchet expiration and successor formula</w:t>
      </w:r>
      <w:r>
        <w:t xml:space="preserve"> — Optional (MAY)</w:t>
      </w:r>
    </w:p>
    <w:p>
      <w:pPr>
        <w:spacing w:before="0" w:after="120"/>
        <w:ind w:left="540"/>
      </w:pPr>
      <w:r>
        <w:t xml:space="preserve">If full ratchet expires on a date, state the date and the adjustment regime that applies afterward. NVCA’s footnote expressly calls for the successor provision; filling the date alone leaves the later financing treatment unresolved. </w:t>
      </w:r>
    </w:p>
    <w:p>
      <w:pPr>
        <w:keepNext/>
        <w:spacing w:before="200" w:after="80"/>
      </w:pPr>
      <w:r>
        <w:rPr>
          <w:rFonts w:ascii="Segoe UI Symbol" w:hAnsi="Segoe UI Symbol"/>
        </w:rPr>
        <w:t xml:space="preserve">☐  </w:t>
      </w:r>
      <w:r>
        <w:rPr>
          <w:b/>
        </w:rPr>
        <w:t xml:space="preserve">5.8  </w:t>
      </w:r>
      <w:r>
        <w:rPr>
          <w:b/>
        </w:rPr>
        <w:t xml:space="preserve">Options, convertibles, and readjustments</w:t>
      </w:r>
      <w:r>
        <w:t xml:space="preserve"> — Recommended (SHOULD)</w:t>
      </w:r>
    </w:p>
    <w:p>
      <w:pPr>
        <w:spacing w:before="0" w:after="120"/>
        <w:ind w:left="540"/>
      </w:pPr>
      <w:r>
        <w:t xml:space="preserve">Test options and convertible securities at issuance, amendment, expiration, and the point at which conversion terms become calculable. Reconcile consideration and maximum shares, and preserve the protection against circular adjustments caused by another instrument’s own anti-dilution mechanism. </w:t>
      </w:r>
      <w:r>
        <w:t xml:space="preserve"> </w:t>
      </w:r>
    </w:p>
    <w:p>
      <w:pPr>
        <w:keepNext/>
        <w:spacing w:before="200" w:after="80"/>
      </w:pPr>
      <w:r>
        <w:rPr>
          <w:rFonts w:ascii="Segoe UI Symbol" w:hAnsi="Segoe UI Symbol"/>
        </w:rPr>
        <w:t xml:space="preserve">☐  </w:t>
      </w:r>
      <w:r>
        <w:rPr>
          <w:b/>
        </w:rPr>
        <w:t xml:space="preserve">5.9  </w:t>
      </w:r>
      <w:r>
        <w:rPr>
          <w:b/>
        </w:rPr>
        <w:t xml:space="preserve">Anti-dilution waiver constituency</w:t>
      </w:r>
      <w:r>
        <w:t xml:space="preserve"> — Recommended (SHOULD)</w:t>
      </w:r>
    </w:p>
    <w:p>
      <w:pPr>
        <w:spacing w:before="0" w:after="120"/>
        <w:ind w:left="540"/>
      </w:pPr>
      <w:r>
        <w:t xml:space="preserve">Select whether the written adjustment waiver comes from Requisite Holders or the affected series. For a multi-series charter, calculate who can waive another series’ protection and confirm that allocation is intentional. </w:t>
      </w:r>
      <w:r>
        <w:t xml:space="preserve"> </w:t>
      </w:r>
    </w:p>
    <w:p>
      <w:pPr>
        <w:keepNext/>
        <w:spacing w:before="200" w:after="80"/>
      </w:pPr>
      <w:r>
        <w:rPr>
          <w:rFonts w:ascii="Segoe UI Symbol" w:hAnsi="Segoe UI Symbol"/>
        </w:rPr>
        <w:t xml:space="preserve">☐  </w:t>
      </w:r>
      <w:r>
        <w:rPr>
          <w:b/>
        </w:rPr>
        <w:t xml:space="preserve">5.10  </w:t>
      </w:r>
      <w:r>
        <w:rPr>
          <w:b/>
        </w:rPr>
        <w:t xml:space="preserve">Related issuances and closing window</w:t>
      </w:r>
      <w:r>
        <w:t xml:space="preserve"> — Recommended (SHOULD)</w:t>
      </w:r>
    </w:p>
    <w:p>
      <w:pPr>
        <w:spacing w:before="0" w:after="120"/>
        <w:ind w:left="540"/>
      </w:pPr>
      <w:r>
        <w:t xml:space="preserve">Reconcile § 4.4.6 with additional and tranched closings under the SPA. Resolve the optional 180-day window and test the final readjustment as though covered issuances occurred on the first date, avoiding duplicate adjustments. </w:t>
      </w:r>
      <w:r>
        <w:t xml:space="preserve"> </w:t>
      </w:r>
    </w:p>
    <w:p>
      <w:pPr>
        <w:keepNext/>
        <w:spacing w:before="200" w:after="80"/>
      </w:pPr>
      <w:r>
        <w:rPr>
          <w:rFonts w:ascii="Segoe UI Symbol" w:hAnsi="Segoe UI Symbol"/>
        </w:rPr>
        <w:t xml:space="preserve">☐  </w:t>
      </w:r>
      <w:r>
        <w:rPr>
          <w:b/>
        </w:rPr>
        <w:t xml:space="preserve">5.11  </w:t>
      </w:r>
      <w:r>
        <w:rPr>
          <w:b/>
        </w:rPr>
        <w:t xml:space="preserve">Splits, dividends, and reorganizations</w:t>
      </w:r>
      <w:r>
        <w:t xml:space="preserve"> — Recommended (SHOULD)</w:t>
      </w:r>
    </w:p>
    <w:p>
      <w:pPr>
        <w:spacing w:before="0" w:after="120"/>
        <w:ind w:left="540"/>
      </w:pPr>
      <w:r>
        <w:t xml:space="preserve">Check §§ 4.5–4.8 for splits, combinations, stock dividends, other distributions, and reorganizations. Coordinate changes to Original Issue Price and Conversion Price so the same event is not counted twice. Review what preferred receives in a merger that is not treated as a Deemed Liquidation Event. </w:t>
      </w:r>
      <w:r>
        <w:t xml:space="preserve"> </w:t>
      </w:r>
      <w:r>
        <w:t xml:space="preserve"> </w:t>
      </w:r>
    </w:p>
    <w:p>
      <w:pPr>
        <w:keepNext/>
        <w:spacing w:before="200" w:after="80"/>
      </w:pPr>
      <w:r>
        <w:rPr>
          <w:rFonts w:ascii="Segoe UI Symbol" w:hAnsi="Segoe UI Symbol"/>
        </w:rPr>
        <w:t xml:space="preserve">☐  </w:t>
      </w:r>
      <w:r>
        <w:rPr>
          <w:b/>
        </w:rPr>
        <w:t xml:space="preserve">5.12  </w:t>
      </w:r>
      <w:r>
        <w:rPr>
          <w:b/>
        </w:rPr>
        <w:t xml:space="preserve">Calculation certificates and event notices</w:t>
      </w:r>
      <w:r>
        <w:t xml:space="preserve"> — Recommended (SHOULD)</w:t>
      </w:r>
    </w:p>
    <w:p>
      <w:pPr>
        <w:spacing w:before="0" w:after="120"/>
        <w:ind w:left="540"/>
      </w:pPr>
      <w:r>
        <w:t xml:space="preserve">Retain the adjustment certificate and its supporting facts, fill the on-request response period, and resolve advance notice of record dates and major events. Check that the notice periods give holders the contemplated opportunity to exercise conversion rights. </w:t>
      </w:r>
      <w:r>
        <w:t xml:space="preserve"> </w:t>
      </w:r>
      <w:r>
        <w:t xml:space="preserve"> </w:t>
      </w:r>
      <w:r>
        <w:t xml:space="preserve"> </w:t>
      </w:r>
    </w:p>
    <w:p>
      <w:pPr>
        <w:keepNext/>
        <w:spacing w:before="360" w:after="160"/>
      </w:pPr>
      <w:r>
        <w:rPr>
          <w:b/>
          <w:sz w:val="28"/>
          <w:szCs w:val="28"/>
        </w:rPr>
        <w:t xml:space="preserve">6. Mandatory Conversion and Pay-to-Play</w:t>
      </w:r>
    </w:p>
    <w:p>
      <w:pPr>
        <w:keepNext/>
        <w:spacing w:before="200" w:after="80"/>
      </w:pPr>
      <w:r>
        <w:rPr>
          <w:rFonts w:ascii="Segoe UI Symbol" w:hAnsi="Segoe UI Symbol"/>
        </w:rPr>
        <w:t xml:space="preserve">☐  </w:t>
      </w:r>
      <w:r>
        <w:rPr>
          <w:b/>
        </w:rPr>
        <w:t xml:space="preserve">6.1  </w:t>
      </w:r>
      <w:r>
        <w:rPr>
          <w:b/>
        </w:rPr>
        <w:t xml:space="preserve">Qualified IPO thresholds</w:t>
      </w:r>
      <w:r>
        <w:t xml:space="preserve"> — Recommended (SHOULD)</w:t>
      </w:r>
    </w:p>
    <w:p>
      <w:pPr>
        <w:spacing w:before="0" w:after="120"/>
        <w:ind w:left="540"/>
      </w:pPr>
      <w:r>
        <w:t xml:space="preserve">Complete the qualified-IPO proceeds threshold and any minimum share price. Resolve gross versus net proceeds and approved exchanges. Check that the mandatory conversion time, rate, and rounding match the offering’s closing sequence. </w:t>
      </w:r>
      <w:r>
        <w:t xml:space="preserve"> </w:t>
      </w:r>
    </w:p>
    <w:p>
      <w:pPr>
        <w:keepNext/>
        <w:spacing w:before="200" w:after="80"/>
      </w:pPr>
      <w:r>
        <w:rPr>
          <w:rFonts w:ascii="Segoe UI Symbol" w:hAnsi="Segoe UI Symbol"/>
        </w:rPr>
        <w:t xml:space="preserve">☐  </w:t>
      </w:r>
      <w:r>
        <w:rPr>
          <w:b/>
        </w:rPr>
        <w:t xml:space="preserve">6.2  </w:t>
      </w:r>
      <w:r>
        <w:rPr>
          <w:b/>
        </w:rPr>
        <w:t xml:space="preserve">Optional direct-listing trigger</w:t>
      </w:r>
      <w:r>
        <w:t xml:space="preserve"> — Optional (MAY)</w:t>
      </w:r>
    </w:p>
    <w:p>
      <w:pPr>
        <w:spacing w:before="0" w:after="120"/>
        <w:ind w:left="540"/>
      </w:pPr>
      <w:r>
        <w:t xml:space="preserve">If direct listing is included, specify the exchange, registration event, and any market-capitalization threshold or board determination. Reconcile its timing separately from an underwritten IPO; the IPO clause alone does not provide the same trigger. </w:t>
      </w:r>
    </w:p>
    <w:p>
      <w:pPr>
        <w:keepNext/>
        <w:spacing w:before="200" w:after="80"/>
      </w:pPr>
      <w:r>
        <w:rPr>
          <w:rFonts w:ascii="Segoe UI Symbol" w:hAnsi="Segoe UI Symbol"/>
        </w:rPr>
        <w:t xml:space="preserve">☐  </w:t>
      </w:r>
      <w:r>
        <w:rPr>
          <w:b/>
        </w:rPr>
        <w:t xml:space="preserve">6.3  </w:t>
      </w:r>
      <w:r>
        <w:rPr>
          <w:b/>
        </w:rPr>
        <w:t xml:space="preserve">Holder-directed conversion and minority protection</w:t>
      </w:r>
      <w:r>
        <w:t xml:space="preserve"> — Recommended (SHOULD)</w:t>
      </w:r>
    </w:p>
    <w:p>
      <w:pPr>
        <w:spacing w:before="0" w:after="120"/>
        <w:ind w:left="540"/>
      </w:pPr>
      <w:r>
        <w:t xml:space="preserve">Calculate which holders can cause all preferred to convert and at what date, time, or event. In a multi-series charter, explicitly evaluate a conversion before a sale that would eliminate another series’ preference; an amendment veto is not a substitute for checking the conversion vote itself. </w:t>
      </w:r>
      <w:r>
        <w:t xml:space="preserve"> </w:t>
      </w:r>
    </w:p>
    <w:p>
      <w:pPr>
        <w:keepNext/>
        <w:spacing w:before="200" w:after="80"/>
      </w:pPr>
      <w:r>
        <w:rPr>
          <w:rFonts w:ascii="Segoe UI Symbol" w:hAnsi="Segoe UI Symbol"/>
        </w:rPr>
        <w:t xml:space="preserve">☐  </w:t>
      </w:r>
      <w:r>
        <w:rPr>
          <w:b/>
        </w:rPr>
        <w:t xml:space="preserve">6.4  </w:t>
      </w:r>
      <w:r>
        <w:rPr>
          <w:b/>
        </w:rPr>
        <w:t xml:space="preserve">Mandatory-conversion administration</w:t>
      </w:r>
      <w:r>
        <w:t xml:space="preserve"> — Recommended (SHOULD)</w:t>
      </w:r>
    </w:p>
    <w:p>
      <w:pPr>
        <w:spacing w:before="0" w:after="120"/>
        <w:ind w:left="540"/>
      </w:pPr>
      <w:r>
        <w:t xml:space="preserve">Check notice, certificate surrender or lost-certificate procedures, uncertificated issuance, declared-dividend payment, and when preferred rights end. Confirm the mechanics do not leave conversion dependent on every holder returning a certificate. </w:t>
      </w:r>
      <w:r>
        <w:t xml:space="preserve"> </w:t>
      </w:r>
    </w:p>
    <w:p>
      <w:pPr>
        <w:keepNext/>
        <w:spacing w:before="200" w:after="80"/>
      </w:pPr>
      <w:r>
        <w:rPr>
          <w:rFonts w:ascii="Segoe UI Symbol" w:hAnsi="Segoe UI Symbol"/>
        </w:rPr>
        <w:t xml:space="preserve">☐  </w:t>
      </w:r>
      <w:r>
        <w:rPr>
          <w:b/>
        </w:rPr>
        <w:t xml:space="preserve">6.5  </w:t>
      </w:r>
      <w:r>
        <w:rPr>
          <w:b/>
        </w:rPr>
        <w:t xml:space="preserve">Optional participation penalty</w:t>
      </w:r>
      <w:r>
        <w:t xml:space="preserve"> — Optional (MAY)</w:t>
      </w:r>
    </w:p>
    <w:p>
      <w:pPr>
        <w:spacing w:before="0" w:after="120"/>
        <w:ind w:left="540"/>
      </w:pPr>
      <w:r>
        <w:t xml:space="preserve">If pay-to-play is negotiated, select all-shares or proportional conversion and the conversion rate. Reconcile the charter with any SPA tranche-default penalty; the optional future-financing mechanism and a failure to fund a committed tranche need aligned triggers and defined terms. </w:t>
      </w:r>
    </w:p>
    <w:p>
      <w:pPr>
        <w:keepNext/>
        <w:spacing w:before="200" w:after="80"/>
      </w:pPr>
      <w:r>
        <w:rPr>
          <w:rFonts w:ascii="Segoe UI Symbol" w:hAnsi="Segoe UI Symbol"/>
        </w:rPr>
        <w:t xml:space="preserve">☐  </w:t>
      </w:r>
      <w:r>
        <w:rPr>
          <w:b/>
        </w:rPr>
        <w:t xml:space="preserve">6.6  </w:t>
      </w:r>
      <w:r>
        <w:rPr>
          <w:b/>
        </w:rPr>
        <w:t xml:space="preserve">Qualified Financing and participation calculation</w:t>
      </w:r>
      <w:r>
        <w:t xml:space="preserve"> — Optional (MAY)</w:t>
      </w:r>
    </w:p>
    <w:p>
      <w:pPr>
        <w:spacing w:before="0" w:after="120"/>
        <w:ind w:left="540"/>
      </w:pPr>
      <w:r>
        <w:t xml:space="preserve">If § 5A is used, resolve the proceeds and down-round triggers, treatment of converted debt, opt-out vote and deadline, Offered Securities, Pro Rata Amount, and board cutbacks. Match any proportional penalty to the Applicable Portion definition. Aggregate affiliates without counting the same shares or purchases twice. </w:t>
      </w:r>
    </w:p>
    <w:p>
      <w:pPr>
        <w:keepNext/>
        <w:spacing w:before="200" w:after="80"/>
      </w:pPr>
      <w:r>
        <w:rPr>
          <w:rFonts w:ascii="Segoe UI Symbol" w:hAnsi="Segoe UI Symbol"/>
        </w:rPr>
        <w:t xml:space="preserve">☐  </w:t>
      </w:r>
      <w:r>
        <w:rPr>
          <w:b/>
        </w:rPr>
        <w:t xml:space="preserve">6.7  </w:t>
      </w:r>
      <w:r>
        <w:rPr>
          <w:b/>
        </w:rPr>
        <w:t xml:space="preserve">Participation notice and voluntary-conversion suspension</w:t>
      </w:r>
      <w:r>
        <w:t xml:space="preserve"> — Optional (MAY)</w:t>
      </w:r>
    </w:p>
    <w:p>
      <w:pPr>
        <w:spacing w:before="0" w:after="120"/>
        <w:ind w:left="540"/>
      </w:pPr>
      <w:r>
        <w:t xml:space="preserve">If § 5A is used, fill its advance-notice period and compare it with the Investors’ Rights Agreement participation notice. Consider the optional § 4.1.1 suspension to prevent escape from the negotiated penalty; preserve voting and liquidation calculations during any suspension. </w:t>
      </w:r>
    </w:p>
    <w:p>
      <w:pPr>
        <w:keepNext/>
        <w:spacing w:before="200" w:after="80"/>
      </w:pPr>
      <w:r>
        <w:rPr>
          <w:rFonts w:ascii="Segoe UI Symbol" w:hAnsi="Segoe UI Symbol"/>
        </w:rPr>
        <w:t xml:space="preserve">☐  </w:t>
      </w:r>
      <w:r>
        <w:rPr>
          <w:b/>
        </w:rPr>
        <w:t xml:space="preserve">6.8  </w:t>
      </w:r>
      <w:r>
        <w:rPr>
          <w:b/>
        </w:rPr>
        <w:t xml:space="preserve">Rights after special conversion</w:t>
      </w:r>
      <w:r>
        <w:t xml:space="preserve"> — Optional (MAY)</w:t>
      </w:r>
    </w:p>
    <w:p>
      <w:pPr>
        <w:spacing w:before="0" w:after="120"/>
        <w:ind w:left="540"/>
      </w:pPr>
      <w:r>
        <w:t xml:space="preserve">If a participation penalty applies, decide separately what happens to registration, participation, and other contractual rights in companion agreements. Reconcile partial-conversion certificates and dividend payments; conversion under the charter does not by itself answer every contractual-rights question. </w:t>
      </w:r>
    </w:p>
    <w:p>
      <w:pPr>
        <w:keepNext/>
        <w:spacing w:before="360" w:after="160"/>
      </w:pPr>
      <w:r>
        <w:rPr>
          <w:b/>
          <w:sz w:val="28"/>
          <w:szCs w:val="28"/>
        </w:rPr>
        <w:t xml:space="preserve">7. Redemption and Continuing Preferred Terms</w:t>
      </w:r>
    </w:p>
    <w:p>
      <w:pPr>
        <w:keepNext/>
        <w:spacing w:before="200" w:after="80"/>
      </w:pPr>
      <w:r>
        <w:rPr>
          <w:rFonts w:ascii="Segoe UI Symbol" w:hAnsi="Segoe UI Symbol"/>
        </w:rPr>
        <w:t xml:space="preserve">☐  </w:t>
      </w:r>
      <w:r>
        <w:rPr>
          <w:b/>
        </w:rPr>
        <w:t xml:space="preserve">7.1  </w:t>
      </w:r>
      <w:r>
        <w:rPr>
          <w:b/>
        </w:rPr>
        <w:t xml:space="preserve">One redemption election</w:t>
      </w:r>
      <w:r>
        <w:t xml:space="preserve"> — Recommended (SHOULD)</w:t>
      </w:r>
    </w:p>
    <w:p>
      <w:pPr>
        <w:spacing w:before="0" w:after="120"/>
        <w:ind w:left="540"/>
      </w:pPr>
      <w:r>
        <w:t xml:space="preserve">Choose the no-redemption alternative or a negotiated § 6 redemption right and remove the unused alternative. Preserve the distinction between investor-requested redemption and redemption after a Deemed Liquidation Event. NVCA’s note describes redemption rights as uncommon in early-stage financings, not prohibited. </w:t>
      </w:r>
      <w:r>
        <w:t xml:space="preserve"> </w:t>
      </w:r>
    </w:p>
    <w:p>
      <w:pPr>
        <w:keepNext/>
        <w:spacing w:before="200" w:after="80"/>
      </w:pPr>
      <w:r>
        <w:rPr>
          <w:rFonts w:ascii="Segoe UI Symbol" w:hAnsi="Segoe UI Symbol"/>
        </w:rPr>
        <w:t xml:space="preserve">☐  </w:t>
      </w:r>
      <w:r>
        <w:rPr>
          <w:b/>
        </w:rPr>
        <w:t xml:space="preserve">7.2  </w:t>
      </w:r>
      <w:r>
        <w:rPr>
          <w:b/>
        </w:rPr>
        <w:t xml:space="preserve">Optional redemption price and schedule</w:t>
      </w:r>
      <w:r>
        <w:t xml:space="preserve"> — Optional (MAY)</w:t>
      </w:r>
    </w:p>
    <w:p>
      <w:pPr>
        <w:spacing w:before="0" w:after="120"/>
        <w:ind w:left="540"/>
      </w:pPr>
      <w:r>
        <w:t xml:space="preserve">If redemption rights are included, fill the first request date, holder threshold, price and dividend treatment, and installment schedule. Resolve any fair-market-value process, priority among series, and opt-out election. Ask tax and accounting advisers to assess the chosen economics rather than assuming all price alternatives have the same consequences. </w:t>
      </w:r>
    </w:p>
    <w:p>
      <w:pPr>
        <w:keepNext/>
        <w:spacing w:before="200" w:after="80"/>
      </w:pPr>
      <w:r>
        <w:rPr>
          <w:rFonts w:ascii="Segoe UI Symbol" w:hAnsi="Segoe UI Symbol"/>
        </w:rPr>
        <w:t xml:space="preserve">☐  </w:t>
      </w:r>
      <w:r>
        <w:rPr>
          <w:b/>
        </w:rPr>
        <w:t xml:space="preserve">7.3  </w:t>
      </w:r>
      <w:r>
        <w:rPr>
          <w:b/>
        </w:rPr>
        <w:t xml:space="preserve">Lawful funds, shortfalls, and remedies</w:t>
      </w:r>
      <w:r>
        <w:t xml:space="preserve"> — Optional (MAY)</w:t>
      </w:r>
    </w:p>
    <w:p>
      <w:pPr>
        <w:spacing w:before="0" w:after="120"/>
        <w:ind w:left="540"/>
      </w:pPr>
      <w:r>
        <w:t xml:space="preserve">If redemption rights are included, preserve the limitation imposed by Delaware distribution law, ratable treatment of a shortfall, and the obligation to redeem remaining shares when lawful. Review negotiated remedies and any use-of-funds controls; a stated payment date does not establish that the company can lawfully pay. </w:t>
      </w:r>
    </w:p>
    <w:p>
      <w:pPr>
        <w:keepNext/>
        <w:spacing w:before="200" w:after="80"/>
      </w:pPr>
      <w:r>
        <w:rPr>
          <w:rFonts w:ascii="Segoe UI Symbol" w:hAnsi="Segoe UI Symbol"/>
        </w:rPr>
        <w:t xml:space="preserve">☐  </w:t>
      </w:r>
      <w:r>
        <w:rPr>
          <w:b/>
        </w:rPr>
        <w:t xml:space="preserve">7.4  </w:t>
      </w:r>
      <w:r>
        <w:rPr>
          <w:b/>
        </w:rPr>
        <w:t xml:space="preserve">Redemption notice, conversion cutoff, and surrender</w:t>
      </w:r>
      <w:r>
        <w:t xml:space="preserve"> — Optional (MAY)</w:t>
      </w:r>
    </w:p>
    <w:p>
      <w:pPr>
        <w:spacing w:before="0" w:after="120"/>
        <w:ind w:left="540"/>
      </w:pPr>
      <w:r>
        <w:t xml:space="preserve">If redemption rights are included, reconcile the notice lead time, dates and price, voluntary-conversion cutoff, certificate surrender, and any Excluded Shares election. Preserve the condition that preferred rights end only after the specified payment, tender, or deposit. </w:t>
      </w:r>
    </w:p>
    <w:p>
      <w:pPr>
        <w:keepNext/>
        <w:spacing w:before="200" w:after="80"/>
      </w:pPr>
      <w:r>
        <w:rPr>
          <w:rFonts w:ascii="Segoe UI Symbol" w:hAnsi="Segoe UI Symbol"/>
        </w:rPr>
        <w:t xml:space="preserve">☐  </w:t>
      </w:r>
      <w:r>
        <w:rPr>
          <w:b/>
        </w:rPr>
        <w:t xml:space="preserve">7.5  </w:t>
      </w:r>
      <w:r>
        <w:rPr>
          <w:b/>
        </w:rPr>
        <w:t xml:space="preserve">Optional interest on unpaid redemption</w:t>
      </w:r>
      <w:r>
        <w:t xml:space="preserve"> — Optional (MAY)</w:t>
      </w:r>
    </w:p>
    <w:p>
      <w:pPr>
        <w:spacing w:before="0" w:after="120"/>
        <w:ind w:left="540"/>
      </w:pPr>
      <w:r>
        <w:t xml:space="preserve">If the interest provision is negotiated, resolve the initial rate, monthly escalation, compounding interval, and lawful-rate limit. Review whether it applies when redemption is unpaid for any reason; NVCA’s note explains why a trigger limited to default may not reach a legally deferred payment. </w:t>
      </w:r>
    </w:p>
    <w:p>
      <w:pPr>
        <w:keepNext/>
        <w:spacing w:before="200" w:after="80"/>
      </w:pPr>
      <w:r>
        <w:rPr>
          <w:rFonts w:ascii="Segoe UI Symbol" w:hAnsi="Segoe UI Symbol"/>
        </w:rPr>
        <w:t xml:space="preserve">☐  </w:t>
      </w:r>
      <w:r>
        <w:rPr>
          <w:b/>
        </w:rPr>
        <w:t xml:space="preserve">7.6  </w:t>
      </w:r>
      <w:r>
        <w:rPr>
          <w:b/>
        </w:rPr>
        <w:t xml:space="preserve">Cancellation and retirement</w:t>
      </w:r>
      <w:r>
        <w:t xml:space="preserve"> — Recommended (SHOULD)</w:t>
      </w:r>
    </w:p>
    <w:p>
      <w:pPr>
        <w:spacing w:before="0" w:after="120"/>
        <w:ind w:left="540"/>
      </w:pPr>
      <w:r>
        <w:t xml:space="preserve">Check cancellation, retirement, reissuance approval, and the prohibition on the company or subsidiaries exercising rights on acquired preferred shares. Reconcile the cap table and any subsequent reduction in authorized preferred. </w:t>
      </w:r>
      <w:r>
        <w:t xml:space="preserve"> </w:t>
      </w:r>
    </w:p>
    <w:p>
      <w:pPr>
        <w:keepNext/>
        <w:spacing w:before="200" w:after="80"/>
      </w:pPr>
      <w:r>
        <w:rPr>
          <w:rFonts w:ascii="Segoe UI Symbol" w:hAnsi="Segoe UI Symbol"/>
        </w:rPr>
        <w:t xml:space="preserve">☐  </w:t>
      </w:r>
      <w:r>
        <w:rPr>
          <w:b/>
        </w:rPr>
        <w:t xml:space="preserve">7.7  </w:t>
      </w:r>
      <w:r>
        <w:rPr>
          <w:b/>
        </w:rPr>
        <w:t xml:space="preserve">Waivers and delivery of notices</w:t>
      </w:r>
      <w:r>
        <w:t xml:space="preserve"> — Recommended (SHOULD)</w:t>
      </w:r>
    </w:p>
    <w:p>
      <w:pPr>
        <w:spacing w:before="0" w:after="120"/>
        <w:ind w:left="540"/>
      </w:pPr>
      <w:r>
        <w:t xml:space="preserve">Review § 8’s amendment-equivalent waiver threshold and its series-specific treatment. Check § 9’s mail and electronic-transmission provisions against current holder records and applicable delivery requirements. Reconcile these general provisions with the special notices in conversion and redemption. </w:t>
      </w:r>
      <w:r>
        <w:t xml:space="preserve"> </w:t>
      </w:r>
    </w:p>
    <w:p>
      <w:pPr>
        <w:spacing w:before="0" w:after="120"/>
        <w:ind w:left="540"/>
      </w:pPr>
      <w:r>
        <w:rPr>
          <w:i/>
        </w:rPr>
        <w:t xml:space="preserve">Source scope: The sources illustrate the clauses. Checking actual approvals, recipients and delivery against the transaction record is reviewer synthesis, not a fact established by the example.</w:t>
      </w:r>
    </w:p>
    <w:p>
      <w:pPr>
        <w:keepNext/>
        <w:spacing w:before="360" w:after="160"/>
      </w:pPr>
      <w:r>
        <w:rPr>
          <w:b/>
          <w:sz w:val="28"/>
          <w:szCs w:val="28"/>
        </w:rPr>
        <w:t xml:space="preserve">8. Governance and Filing Package</w:t>
      </w:r>
    </w:p>
    <w:p>
      <w:pPr>
        <w:keepNext/>
        <w:spacing w:before="200" w:after="80"/>
      </w:pPr>
      <w:r>
        <w:rPr>
          <w:rFonts w:ascii="Segoe UI Symbol" w:hAnsi="Segoe UI Symbol"/>
        </w:rPr>
        <w:t xml:space="preserve">☐  </w:t>
      </w:r>
      <w:r>
        <w:rPr>
          <w:b/>
        </w:rPr>
        <w:t xml:space="preserve">8.1  </w:t>
      </w:r>
      <w:r>
        <w:rPr>
          <w:b/>
        </w:rPr>
        <w:t xml:space="preserve">Bylaws and general governance articles</w:t>
      </w:r>
      <w:r>
        <w:t xml:space="preserve"> — Recommended (SHOULD)</w:t>
      </w:r>
    </w:p>
    <w:p>
      <w:pPr>
        <w:spacing w:before="0" w:after="120"/>
        <w:ind w:left="540"/>
      </w:pPr>
      <w:r>
        <w:t xml:space="preserve">Review Articles Fifth through Eighth for board authority to amend bylaws, the method for determining board size, ballot requirements, meeting location, and corporate books. Reconcile these provisions with preferred consent rights, the Voting Agreement, and the actual bylaws. </w:t>
      </w:r>
      <w:r>
        <w:t xml:space="preserve"> </w:t>
      </w:r>
      <w:r>
        <w:t xml:space="preserve"> </w:t>
      </w:r>
    </w:p>
    <w:p>
      <w:pPr>
        <w:keepNext/>
        <w:spacing w:before="200" w:after="80"/>
      </w:pPr>
      <w:r>
        <w:rPr>
          <w:rFonts w:ascii="Segoe UI Symbol" w:hAnsi="Segoe UI Symbol"/>
        </w:rPr>
        <w:t xml:space="preserve">☐  </w:t>
      </w:r>
      <w:r>
        <w:rPr>
          <w:b/>
        </w:rPr>
        <w:t xml:space="preserve">8.2  </w:t>
      </w:r>
      <w:r>
        <w:rPr>
          <w:b/>
        </w:rPr>
        <w:t xml:space="preserve">Director and optional officer exculpation</w:t>
      </w:r>
      <w:r>
        <w:t xml:space="preserve"> — Recommended (SHOULD)</w:t>
      </w:r>
    </w:p>
    <w:p>
      <w:pPr>
        <w:spacing w:before="0" w:after="120"/>
        <w:ind w:left="540"/>
      </w:pPr>
      <w:r>
        <w:t xml:space="preserve">Check Article Ninth and deliberately resolve the officer election. Preserve its limitation to what applicable law permits and its protection for prior conduct after a later amendment. Ask counsel to confirm the statutory exclusions; officer protection does not simply duplicate every aspect of director protection. </w:t>
      </w:r>
      <w:r>
        <w:t xml:space="preserve"> </w:t>
      </w:r>
    </w:p>
    <w:p>
      <w:pPr>
        <w:keepNext/>
        <w:spacing w:before="200" w:after="80"/>
      </w:pPr>
      <w:r>
        <w:rPr>
          <w:rFonts w:ascii="Segoe UI Symbol" w:hAnsi="Segoe UI Symbol"/>
        </w:rPr>
        <w:t xml:space="preserve">☐  </w:t>
      </w:r>
      <w:r>
        <w:rPr>
          <w:b/>
        </w:rPr>
        <w:t xml:space="preserve">8.3  </w:t>
      </w:r>
      <w:r>
        <w:rPr>
          <w:b/>
        </w:rPr>
        <w:t xml:space="preserve">Indemnification authority or mandatory rights</w:t>
      </w:r>
      <w:r>
        <w:t xml:space="preserve"> — Recommended (SHOULD)</w:t>
      </w:r>
    </w:p>
    <w:p>
      <w:pPr>
        <w:spacing w:before="0" w:after="120"/>
        <w:ind w:left="540"/>
      </w:pPr>
      <w:r>
        <w:t xml:space="preserve">Distinguish Article Tenth’s authorization from Exhibit A’s mandatory alternative. If the alternative is used, review covered officers, advancement and repayment undertakings, claim enforcement, discretionary employee coverage, other recoveries, insurance, and protection against retroactive repeal. Reconcile the selected text with bylaws and individual indemnification agreements. </w:t>
      </w:r>
      <w:r>
        <w:t xml:space="preserve"> </w:t>
      </w:r>
    </w:p>
    <w:p>
      <w:pPr>
        <w:keepNext/>
        <w:spacing w:before="200" w:after="80"/>
      </w:pPr>
      <w:r>
        <w:rPr>
          <w:rFonts w:ascii="Segoe UI Symbol" w:hAnsi="Segoe UI Symbol"/>
        </w:rPr>
        <w:t xml:space="preserve">☐  </w:t>
      </w:r>
      <w:r>
        <w:rPr>
          <w:b/>
        </w:rPr>
        <w:t xml:space="preserve">8.4  </w:t>
      </w:r>
      <w:r>
        <w:rPr>
          <w:b/>
        </w:rPr>
        <w:t xml:space="preserve">Scope of the opportunity renunciation</w:t>
      </w:r>
      <w:r>
        <w:t xml:space="preserve"> — Recommended (SHOULD)</w:t>
      </w:r>
    </w:p>
    <w:p>
      <w:pPr>
        <w:spacing w:before="0" w:after="120"/>
        <w:ind w:left="540"/>
      </w:pPr>
      <w:r>
        <w:t xml:space="preserve">Review the Covered Persons and Excluded Opportunity definitions, the director-capacity exception, and the amendment threshold. NVCA’s note identifies this as an investor-favorable example requiring tailoring. Confirm which opportunities the company is surrendering before accepting it as boilerplate. </w:t>
      </w:r>
      <w:r>
        <w:t xml:space="preserve"> </w:t>
      </w:r>
    </w:p>
    <w:p>
      <w:pPr>
        <w:keepNext/>
        <w:spacing w:before="200" w:after="80"/>
      </w:pPr>
      <w:r>
        <w:rPr>
          <w:rFonts w:ascii="Segoe UI Symbol" w:hAnsi="Segoe UI Symbol"/>
        </w:rPr>
        <w:t xml:space="preserve">☐  </w:t>
      </w:r>
      <w:r>
        <w:rPr>
          <w:b/>
        </w:rPr>
        <w:t xml:space="preserve">8.5  </w:t>
      </w:r>
      <w:r>
        <w:rPr>
          <w:b/>
        </w:rPr>
        <w:t xml:space="preserve">Optional exclusive forum</w:t>
      </w:r>
      <w:r>
        <w:t xml:space="preserve"> — Optional (MAY)</w:t>
      </w:r>
    </w:p>
    <w:p>
      <w:pPr>
        <w:spacing w:before="0" w:after="120"/>
        <w:ind w:left="540"/>
      </w:pPr>
      <w:r>
        <w:t xml:space="preserve">If retained, check the covered claims, Chancery jurisdiction, indispensable-party and exclusive-jurisdiction exceptions, and the company’s alternative-forum consent. Have counsel evaluate the clause against applicable law and the intended claims; avoid describing it as a universal bar on litigation elsewhere. </w:t>
      </w:r>
    </w:p>
    <w:p>
      <w:pPr>
        <w:keepNext/>
        <w:spacing w:before="200" w:after="80"/>
      </w:pPr>
      <w:r>
        <w:rPr>
          <w:rFonts w:ascii="Segoe UI Symbol" w:hAnsi="Segoe UI Symbol"/>
        </w:rPr>
        <w:t xml:space="preserve">☐  </w:t>
      </w:r>
      <w:r>
        <w:rPr>
          <w:b/>
        </w:rPr>
        <w:t xml:space="preserve">8.6  </w:t>
      </w:r>
      <w:r>
        <w:rPr>
          <w:b/>
        </w:rPr>
        <w:t xml:space="preserve">Severability and optional California repurchase provision</w:t>
      </w:r>
      <w:r>
        <w:t xml:space="preserve"> — Optional (MAY)</w:t>
      </w:r>
    </w:p>
    <w:p>
      <w:pPr>
        <w:spacing w:before="0" w:after="120"/>
        <w:ind w:left="540"/>
      </w:pPr>
      <w:r>
        <w:t xml:space="preserve">Retain coherent severability language in Article Thirteenth. Where California contacts warrant analysis, ask counsel to assess Article Fourteenth’s limited treatment of specified service-related repurchases and the necessary approvals. Do not treat that election as a blanket waiver of solvency or distribution restrictions. </w:t>
      </w:r>
    </w:p>
    <w:p>
      <w:pPr>
        <w:keepNext/>
        <w:spacing w:before="200" w:after="80"/>
      </w:pPr>
      <w:r>
        <w:rPr>
          <w:rFonts w:ascii="Segoe UI Symbol" w:hAnsi="Segoe UI Symbol"/>
        </w:rPr>
        <w:t xml:space="preserve">☐  </w:t>
      </w:r>
      <w:r>
        <w:rPr>
          <w:b/>
        </w:rPr>
        <w:t xml:space="preserve">8.7  </w:t>
      </w:r>
      <w:r>
        <w:rPr>
          <w:b/>
        </w:rPr>
        <w:t xml:space="preserve">Adoption, execution, and filing sequence</w:t>
      </w:r>
      <w:r>
        <w:t xml:space="preserve"> — Required (MUST)</w:t>
      </w:r>
    </w:p>
    <w:p>
      <w:pPr>
        <w:spacing w:before="0" w:after="120"/>
        <w:ind w:left="540"/>
      </w:pPr>
      <w:r>
        <w:t xml:space="preserve">Verify adoption, execution and filing effectiveness under the applicable DGCL procedure before using the new charter as the basis for issuance. Reconcile approvals with the existing charter; a pure restatement and a restatement that also amends it have different adoption rules. Check the § 228(e) certification if written consent was used and its prompt-notice requirement after less-than-unanimous consent, the §§ 242 and 245 adoption certification, the authorized officer’s signature and date, and any delayed Delaware filing effectiveness before issuing shares under the new charter. </w:t>
      </w:r>
      <w:r>
        <w:t xml:space="preserve"> </w:t>
      </w:r>
      <w:r>
        <w:t xml:space="preserve"> </w:t>
      </w:r>
    </w:p>
    <w:p>
      <w:pPr>
        <w:keepNext/>
        <w:spacing w:before="200" w:after="80"/>
      </w:pPr>
      <w:r>
        <w:rPr>
          <w:rFonts w:ascii="Segoe UI Symbol" w:hAnsi="Segoe UI Symbol"/>
        </w:rPr>
        <w:t xml:space="preserve">☐  </w:t>
      </w:r>
      <w:r>
        <w:rPr>
          <w:b/>
        </w:rPr>
        <w:t xml:space="preserve">8.8  </w:t>
      </w:r>
      <w:r>
        <w:rPr>
          <w:b/>
        </w:rPr>
        <w:t xml:space="preserve">Final package and companion-document consistency</w:t>
      </w:r>
      <w:r>
        <w:t xml:space="preserve"> — Recommended (SHOULD)</w:t>
      </w:r>
    </w:p>
    <w:p>
      <w:pPr>
        <w:spacing w:before="0" w:after="120"/>
        <w:ind w:left="540"/>
      </w:pPr>
      <w:r>
        <w:t xml:space="preserve">Remove unused alternatives, drafting instructions, and model footnotes from the filing copy. Check every cross-reference after renumbering, including § 5A if omitted. Compare series names, issue price, consent thresholds, and conversion mechanics across the term sheet, </w:t>
      </w:r>
      <w:r>
        <w:t xml:space="preserve">SPA</w:t>
      </w:r>
      <w:r>
        <w:t xml:space="preserve">, Investors’ Rights Agreement, Voting Agreement, and final capitalization schedule. </w:t>
      </w:r>
      <w:r>
        <w:t xml:space="preserve"> </w:t>
      </w:r>
    </w:p>
    <w:p>
      <w:pPr>
        <w:spacing w:before="0" w:after="120"/>
        <w:ind w:left="540"/>
      </w:pPr>
      <w:r>
        <w:rPr>
          <w:i/>
        </w:rPr>
        <w:t xml:space="preserve">Source scope: Model note 47 supports defined-term tailoring for the pay-to-play proviso. Removing unused model text and comparing the complete financing package are reviewer synthesis; Seaport’s adoption certification does not establish that those review steps occurred.</w:t>
      </w:r>
    </w:p>
    <w:p>
      <w:pPr>
        <w:spacing w:before="360" w:after="0"/>
      </w:pPr>
      <w:r>
        <w:rPr>
          <w:color w:val="666666"/>
          <w:sz w:val="16"/>
          <w:szCs w:val="16"/>
        </w:rPr>
        <w:t xml:space="preserve">Steven Obiajulu, J.D. edits this reviewer checklist for NVCA model amended and restated certificate for a Delaware venture-backed corporation coverage. It synthesizes legal sources and is not legal advice. This article is for informational purposes only and does not create an attorney-client relationship.</w:t>
      </w:r>
    </w:p>
    <w:sectPr>
      <w:pgSz w:w="12240" w:h="15840"/>
      <w:pgMar w:top="1440" w:right="1440" w:bottom="1440" w:left="1440"/>
    </w:sectPr>
  </w:body>
</w:document>
</file>

<file path=word/styles.xml><?xml version="1.0" encoding="utf-8"?>
<w:styles xmlns:w="http://schemas.openxmlformats.org/wordprocessingml/2006/main">
  <w:docDefaults>
    <w:rPrDefault>
      <w:rPr>
        <w:rFonts w:ascii="Calibri" w:hAnsi="Calibri"/>
        <w:sz w:val="22"/>
        <w:szCs w:val="22"/>
      </w:rPr>
    </w:rPrDefault>
    <w:pPrDefault>
      <w:pPr>
        <w:spacing w:after="120" w:line="276" w:lineRule="auto"/>
      </w:pPr>
    </w:p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