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Privacy Policy Review Checklist</w:t>
      </w:r>
    </w:p>
    <w:p>
      <w:pPr>
        <w:spacing w:before="0" w:after="120"/>
      </w:pPr>
      <w:r>
        <w:rPr>
          <w:i/>
          <w:color w:val="444444"/>
        </w:rPr>
        <w:t xml:space="preserve">A clause-by-clause reviewer checklist for privacy policies covering business identification, data disclosures, consumer rights, opt-outs, consent, and maintenance.</w:t>
      </w:r>
    </w:p>
    <w:p>
      <w:pPr>
        <w:spacing w:before="0" w:after="240"/>
      </w:pPr>
      <w:r>
        <w:rPr>
          <w:color w:val="666666"/>
          <w:sz w:val="18"/>
          <w:szCs w:val="18"/>
        </w:rPr>
        <w:t xml:space="preserve">By Steven Obiajulu, J.D. Last reviewed 2026-06-17. License: CC BY 4.0. https://openagreements.org/checklists/privacy-policy/us</w:t>
      </w:r>
    </w:p>
    <w:p>
      <w:pPr>
        <w:keepNext/>
        <w:spacing w:before="360" w:after="160"/>
      </w:pPr>
      <w:r>
        <w:rPr>
          <w:b/>
          <w:sz w:val="28"/>
          <w:szCs w:val="28"/>
        </w:rPr>
        <w:t xml:space="preserve">1. Identity, scope, and contact</w:t>
      </w:r>
    </w:p>
    <w:p>
      <w:pPr>
        <w:keepNext/>
        <w:spacing w:before="200" w:after="80"/>
      </w:pPr>
      <w:r>
        <w:rPr>
          <w:rFonts w:ascii="Segoe UI Symbol" w:hAnsi="Segoe UI Symbol"/>
        </w:rPr>
        <w:t xml:space="preserve">☐  </w:t>
      </w:r>
      <w:r>
        <w:rPr>
          <w:b/>
        </w:rPr>
        <w:t xml:space="preserve">1.1  </w:t>
      </w:r>
      <w:r>
        <w:rPr>
          <w:b/>
        </w:rPr>
        <w:t xml:space="preserve">Business identified with a contact method</w:t>
      </w:r>
      <w:r>
        <w:t xml:space="preserve"> — Recommended (SHOULD)</w:t>
      </w:r>
    </w:p>
    <w:p>
      <w:pPr>
        <w:spacing w:before="0" w:after="120"/>
        <w:ind w:left="540"/>
      </w:pPr>
      <w:r>
        <w:t xml:space="preserve">The policy should give consumers a working way to reach the business behind it — the comprehensive-act notice must carry an active email address or other online mechanism the consumer can use to contact the controller. A policy that offers no reachable contact point fails the most basic disclosure test before any substantive question is reached. </w:t>
      </w:r>
    </w:p>
    <w:p>
      <w:pPr>
        <w:keepNext/>
        <w:spacing w:before="200" w:after="80"/>
      </w:pPr>
      <w:r>
        <w:rPr>
          <w:rFonts w:ascii="Segoe UI Symbol" w:hAnsi="Segoe UI Symbol"/>
        </w:rPr>
        <w:t xml:space="preserve">☐  </w:t>
      </w:r>
      <w:r>
        <w:rPr>
          <w:b/>
        </w:rPr>
        <w:t xml:space="preserve">1.2  </w:t>
      </w:r>
      <w:r>
        <w:rPr>
          <w:b/>
        </w:rPr>
        <w:t xml:space="preserve">Effective date stated</w:t>
      </w:r>
      <w:r>
        <w:t xml:space="preserve"> — Recommended (SHOULD)</w:t>
      </w:r>
    </w:p>
    <w:p>
      <w:pPr>
        <w:spacing w:before="0" w:after="120"/>
        <w:ind w:left="540"/>
      </w:pPr>
      <w:r>
        <w:t xml:space="preserve">The policy should carry an effective date. It is a fixed element of the website-operator notice and the anchor for the change-notification and refresh items below — without it, a reader cannot tell which version of the policy governs. </w:t>
      </w:r>
    </w:p>
    <w:p>
      <w:pPr>
        <w:keepNext/>
        <w:spacing w:before="360" w:after="160"/>
      </w:pPr>
      <w:r>
        <w:rPr>
          <w:b/>
          <w:sz w:val="28"/>
          <w:szCs w:val="28"/>
        </w:rPr>
        <w:t xml:space="preserve">2. Data collection and use disclosures</w:t>
      </w:r>
    </w:p>
    <w:p>
      <w:pPr>
        <w:keepNext/>
        <w:spacing w:before="200" w:after="80"/>
      </w:pPr>
      <w:r>
        <w:rPr>
          <w:rFonts w:ascii="Segoe UI Symbol" w:hAnsi="Segoe UI Symbol"/>
        </w:rPr>
        <w:t xml:space="preserve">☐  </w:t>
      </w:r>
      <w:r>
        <w:rPr>
          <w:b/>
        </w:rPr>
        <w:t xml:space="preserve">2.1  </w:t>
      </w:r>
      <w:r>
        <w:rPr>
          <w:b/>
        </w:rPr>
        <w:t xml:space="preserve">Categories of data collected</w:t>
      </w:r>
      <w:r>
        <w:t xml:space="preserve"> — Recommended (SHOULD)</w:t>
      </w:r>
    </w:p>
    <w:p>
      <w:pPr>
        <w:spacing w:before="0" w:after="120"/>
        <w:ind w:left="540"/>
      </w:pPr>
      <w:r>
        <w:t xml:space="preserve">The policy should list the categories of personal data the business processes, calling out any sensitive-data categories separately. The comprehensive-act notice lists open with exactly this element, so an omission here is a substantive gap, not a stylistic one. </w:t>
      </w:r>
    </w:p>
    <w:p>
      <w:pPr>
        <w:keepNext/>
        <w:spacing w:before="200" w:after="80"/>
      </w:pPr>
      <w:r>
        <w:rPr>
          <w:rFonts w:ascii="Segoe UI Symbol" w:hAnsi="Segoe UI Symbol"/>
        </w:rPr>
        <w:t xml:space="preserve">☐  </w:t>
      </w:r>
      <w:r>
        <w:rPr>
          <w:b/>
        </w:rPr>
        <w:t xml:space="preserve">2.2  </w:t>
      </w:r>
      <w:r>
        <w:rPr>
          <w:b/>
        </w:rPr>
        <w:t xml:space="preserve">Why the data is used</w:t>
      </w:r>
      <w:r>
        <w:t xml:space="preserve"> — Recommended (SHOULD)</w:t>
      </w:r>
    </w:p>
    <w:p>
      <w:pPr>
        <w:spacing w:before="0" w:after="120"/>
        <w:ind w:left="540"/>
      </w:pPr>
      <w:r>
        <w:t xml:space="preserve">The policy should state the purposes for which it processes personal data. The purpose statement sits alongside the data categories in the statutory notice list, and a vague or missing purpose is the disclosure most often challenged as inadequate. </w:t>
      </w:r>
    </w:p>
    <w:p>
      <w:pPr>
        <w:keepNext/>
        <w:spacing w:before="200" w:after="80"/>
      </w:pPr>
      <w:r>
        <w:rPr>
          <w:rFonts w:ascii="Segoe UI Symbol" w:hAnsi="Segoe UI Symbol"/>
        </w:rPr>
        <w:t xml:space="preserve">☐  </w:t>
      </w:r>
      <w:r>
        <w:rPr>
          <w:b/>
        </w:rPr>
        <w:t xml:space="preserve">2.3  </w:t>
      </w:r>
      <w:r>
        <w:rPr>
          <w:b/>
        </w:rPr>
        <w:t xml:space="preserve">Who the data is shared with</w:t>
      </w:r>
      <w:r>
        <w:t xml:space="preserve"> — Recommended (SHOULD)</w:t>
      </w:r>
    </w:p>
    <w:p>
      <w:pPr>
        <w:spacing w:before="0" w:after="120"/>
        <w:ind w:left="540"/>
      </w:pPr>
      <w:r>
        <w:t xml:space="preserve">The policy should list the categories of personal data shared with third parties and describe the categories of recipients at a level of detail that lets a consumer understand what type of entity each one is. A bare statement that data may be shared with partners does not meet this bar. </w:t>
      </w:r>
    </w:p>
    <w:p>
      <w:pPr>
        <w:keepNext/>
        <w:spacing w:before="360" w:after="160"/>
      </w:pPr>
      <w:r>
        <w:rPr>
          <w:b/>
          <w:sz w:val="28"/>
          <w:szCs w:val="28"/>
        </w:rPr>
        <w:t xml:space="preserve">3. Consumer rights and request handling</w:t>
      </w:r>
    </w:p>
    <w:p>
      <w:pPr>
        <w:keepNext/>
        <w:spacing w:before="200" w:after="80"/>
      </w:pPr>
      <w:r>
        <w:rPr>
          <w:rFonts w:ascii="Segoe UI Symbol" w:hAnsi="Segoe UI Symbol"/>
        </w:rPr>
        <w:t xml:space="preserve">☐  </w:t>
      </w:r>
      <w:r>
        <w:rPr>
          <w:b/>
        </w:rPr>
        <w:t xml:space="preserve">3.1  </w:t>
      </w:r>
      <w:r>
        <w:rPr>
          <w:b/>
        </w:rPr>
        <w:t xml:space="preserve">Rights catalog disclosed</w:t>
      </w:r>
      <w:r>
        <w:t xml:space="preserve"> — Recommended (SHOULD)</w:t>
      </w:r>
    </w:p>
    <w:p>
      <w:pPr>
        <w:spacing w:before="0" w:after="120"/>
        <w:ind w:left="540"/>
      </w:pPr>
      <w:r>
        <w:t xml:space="preserve">When a comprehensive state privacy act covers the business, the policy should describe the rights that act grants consumers — to confirm processing and access the data, to correct inaccuracies, to delete personal data, to obtain a portable copy, and to opt out of targeted advertising, the sale of personal data, and profiling that drives significant decisions. The catalog is consistent across the acts, with some states adding opt-outs for sensitive-data collection and for voice- and facial-recognition features, so confirm the governing state's list before signing off on the rights section. </w:t>
      </w:r>
    </w:p>
    <w:p>
      <w:pPr>
        <w:keepNext/>
        <w:spacing w:before="200" w:after="80"/>
      </w:pPr>
      <w:r>
        <w:rPr>
          <w:rFonts w:ascii="Segoe UI Symbol" w:hAnsi="Segoe UI Symbol"/>
        </w:rPr>
        <w:t xml:space="preserve">☐  </w:t>
      </w:r>
      <w:r>
        <w:rPr>
          <w:b/>
        </w:rPr>
        <w:t xml:space="preserve">3.2  </w:t>
      </w:r>
      <w:r>
        <w:rPr>
          <w:b/>
        </w:rPr>
        <w:t xml:space="preserve">How to submit a rights request</w:t>
      </w:r>
      <w:r>
        <w:t xml:space="preserve"> — Recommended (SHOULD)</w:t>
      </w:r>
    </w:p>
    <w:p>
      <w:pPr>
        <w:spacing w:before="0" w:after="120"/>
        <w:ind w:left="540"/>
      </w:pPr>
      <w:r>
        <w:t xml:space="preserve">The policy should describe how a consumer exercises each disclosed right and give the request channel. The notice lists pair the rights catalog with the mechanics for using it, so a rights section that names the rights but not the route to use them is incomplete. </w:t>
      </w:r>
    </w:p>
    <w:p>
      <w:pPr>
        <w:keepNext/>
        <w:spacing w:before="200" w:after="80"/>
      </w:pPr>
      <w:r>
        <w:rPr>
          <w:rFonts w:ascii="Segoe UI Symbol" w:hAnsi="Segoe UI Symbol"/>
        </w:rPr>
        <w:t xml:space="preserve">☐  </w:t>
      </w:r>
      <w:r>
        <w:rPr>
          <w:b/>
        </w:rPr>
        <w:t xml:space="preserve">3.3  </w:t>
      </w:r>
      <w:r>
        <w:rPr>
          <w:b/>
        </w:rPr>
        <w:t xml:space="preserve">Response timeline stated</w:t>
      </w:r>
      <w:r>
        <w:t xml:space="preserve"> — Recommended (SHOULD)</w:t>
      </w:r>
    </w:p>
    <w:p>
      <w:pPr>
        <w:spacing w:before="0" w:after="120"/>
        <w:ind w:left="540"/>
      </w:pPr>
      <w:r>
        <w:t xml:space="preserve">The policy should state the response timeline — a response without undue delay and no later than the statutory window, extendable once with in-window notice and a reason. Many states set an initial 45-day window; the cited Florida act allows a single 15-day extension, while several other states allow a longer (often 45-day) extension, so confirm the governing state's clock. </w:t>
      </w:r>
    </w:p>
    <w:p>
      <w:pPr>
        <w:keepNext/>
        <w:spacing w:before="200" w:after="80"/>
      </w:pPr>
      <w:r>
        <w:rPr>
          <w:rFonts w:ascii="Segoe UI Symbol" w:hAnsi="Segoe UI Symbol"/>
        </w:rPr>
        <w:t xml:space="preserve">☐  </w:t>
      </w:r>
      <w:r>
        <w:rPr>
          <w:b/>
        </w:rPr>
        <w:t xml:space="preserve">3.4  </w:t>
      </w:r>
      <w:r>
        <w:rPr>
          <w:b/>
        </w:rPr>
        <w:t xml:space="preserve">Appeal process for refusals</w:t>
      </w:r>
      <w:r>
        <w:t xml:space="preserve"> — Recommended (SHOULD)</w:t>
      </w:r>
    </w:p>
    <w:p>
      <w:pPr>
        <w:spacing w:before="0" w:after="120"/>
        <w:ind w:left="540"/>
      </w:pPr>
      <w:r>
        <w:t xml:space="preserve">The policy should describe a conspicuously available process to appeal a refused request, answered in writing with reasons within the statutory window. A refusal is not the end of the road, and an appeal route that is missing or buried is itself a compliance gap. </w:t>
      </w:r>
    </w:p>
    <w:p>
      <w:pPr>
        <w:keepNext/>
        <w:spacing w:before="360" w:after="160"/>
      </w:pPr>
      <w:r>
        <w:rPr>
          <w:b/>
          <w:sz w:val="28"/>
          <w:szCs w:val="28"/>
        </w:rPr>
        <w:t xml:space="preserve">4. Sale, targeted advertising, and opt-out signals</w:t>
      </w:r>
    </w:p>
    <w:p>
      <w:pPr>
        <w:keepNext/>
        <w:spacing w:before="200" w:after="80"/>
      </w:pPr>
      <w:r>
        <w:rPr>
          <w:rFonts w:ascii="Segoe UI Symbol" w:hAnsi="Segoe UI Symbol"/>
        </w:rPr>
        <w:t xml:space="preserve">☐  </w:t>
      </w:r>
      <w:r>
        <w:rPr>
          <w:b/>
        </w:rPr>
        <w:t xml:space="preserve">4.1  </w:t>
      </w:r>
      <w:r>
        <w:rPr>
          <w:b/>
        </w:rPr>
        <w:t xml:space="preserve">Sale and ad-targeting opt-out</w:t>
      </w:r>
      <w:r>
        <w:t xml:space="preserve"> — Recommended (SHOULD)</w:t>
      </w:r>
    </w:p>
    <w:p>
      <w:pPr>
        <w:spacing w:before="0" w:after="120"/>
        <w:ind w:left="540"/>
      </w:pPr>
      <w:r>
        <w:t xml:space="preserve">When a state privacy regime covers the business and it sells personal data or processes it for targeted advertising, the policy should clearly and conspicuously disclose that activity and how the consumer opts out. This gate is not comprehensive-act-only: a covered website operator or commercial site can owe the disclosure under a limited-scope regime too. </w:t>
      </w:r>
    </w:p>
    <w:p>
      <w:pPr>
        <w:keepNext/>
        <w:spacing w:before="200" w:after="80"/>
      </w:pPr>
      <w:r>
        <w:rPr>
          <w:rFonts w:ascii="Segoe UI Symbol" w:hAnsi="Segoe UI Symbol"/>
        </w:rPr>
        <w:t xml:space="preserve">☐  </w:t>
      </w:r>
      <w:r>
        <w:rPr>
          <w:b/>
        </w:rPr>
        <w:t xml:space="preserve">4.2  </w:t>
      </w:r>
      <w:r>
        <w:rPr>
          <w:b/>
        </w:rPr>
        <w:t xml:space="preserve">Profiling opt-out</w:t>
      </w:r>
      <w:r>
        <w:t xml:space="preserve"> — Recommended (SHOULD)</w:t>
      </w:r>
    </w:p>
    <w:p>
      <w:pPr>
        <w:spacing w:before="0" w:after="120"/>
        <w:ind w:left="540"/>
      </w:pPr>
      <w:r>
        <w:t xml:space="preserve">When the business profiles consumers to make decisions that carry legal or similarly significant effects, the policy should disclose the right to opt out of that profiling. </w:t>
      </w:r>
    </w:p>
    <w:p>
      <w:pPr>
        <w:keepNext/>
        <w:spacing w:before="200" w:after="80"/>
      </w:pPr>
      <w:r>
        <w:rPr>
          <w:rFonts w:ascii="Segoe UI Symbol" w:hAnsi="Segoe UI Symbol"/>
        </w:rPr>
        <w:t xml:space="preserve">☐  </w:t>
      </w:r>
      <w:r>
        <w:rPr>
          <w:b/>
        </w:rPr>
        <w:t xml:space="preserve">4.3  </w:t>
      </w:r>
      <w:r>
        <w:rPr>
          <w:b/>
        </w:rPr>
        <w:t xml:space="preserve">Universal opt-out signal honored</w:t>
      </w:r>
      <w:r>
        <w:t xml:space="preserve"> — Recommended (SHOULD)</w:t>
      </w:r>
    </w:p>
    <w:p>
      <w:pPr>
        <w:spacing w:before="0" w:after="120"/>
        <w:ind w:left="540"/>
      </w:pPr>
      <w:r>
        <w:t xml:space="preserve">When the governing comprehensive act requires a universal opt-out mechanism, the policy should state that it treats a user-selected signal — such as Global Privacy Control — as a valid opt-out from targeted advertising and the sale of personal data. A growing minority of states makes honoring the signal mandatory, and the duty attaches to what the site actually does, not just to what the policy says. </w:t>
      </w:r>
    </w:p>
    <w:p>
      <w:pPr>
        <w:keepNext/>
        <w:spacing w:before="360" w:after="160"/>
      </w:pPr>
      <w:r>
        <w:rPr>
          <w:b/>
          <w:sz w:val="28"/>
          <w:szCs w:val="28"/>
        </w:rPr>
        <w:t xml:space="preserve">5. Sensitive-data consent</w:t>
      </w:r>
    </w:p>
    <w:p>
      <w:pPr>
        <w:keepNext/>
        <w:spacing w:before="200" w:after="80"/>
      </w:pPr>
      <w:r>
        <w:rPr>
          <w:rFonts w:ascii="Segoe UI Symbol" w:hAnsi="Segoe UI Symbol"/>
        </w:rPr>
        <w:t xml:space="preserve">☐  </w:t>
      </w:r>
      <w:r>
        <w:rPr>
          <w:b/>
        </w:rPr>
        <w:t xml:space="preserve">5.1  </w:t>
      </w:r>
      <w:r>
        <w:rPr>
          <w:b/>
        </w:rPr>
        <w:t xml:space="preserve">Opt-in consent for sensitive data</w:t>
      </w:r>
      <w:r>
        <w:t xml:space="preserve"> — Required (MUST)</w:t>
      </w:r>
    </w:p>
    <w:p>
      <w:pPr>
        <w:spacing w:before="0" w:after="120"/>
        <w:ind w:left="540"/>
      </w:pPr>
      <w:r>
        <w:t xml:space="preserve">When a state privacy regime covers the business and it processes sensitive data, it must satisfy the governing state's sensitive-data rule before processing. Opt-in affirmative consent is the rule in most states and the strict baseline a multistate policy should adopt; a few states, such as Iowa, instead require clear notice and an opt-out </w:t>
      </w:r>
      <w:r>
        <w:t xml:space="preserve">. Where consent governs, it is captured by an affirmative flow, not implied by a paragraph in the policy. </w:t>
      </w:r>
    </w:p>
    <w:p>
      <w:pPr>
        <w:keepNext/>
        <w:spacing w:before="200" w:after="80"/>
      </w:pPr>
      <w:r>
        <w:rPr>
          <w:rFonts w:ascii="Segoe UI Symbol" w:hAnsi="Segoe UI Symbol"/>
        </w:rPr>
        <w:t xml:space="preserve">☐  </w:t>
      </w:r>
      <w:r>
        <w:rPr>
          <w:b/>
        </w:rPr>
        <w:t xml:space="preserve">5.2  </w:t>
      </w:r>
      <w:r>
        <w:rPr>
          <w:b/>
        </w:rPr>
        <w:t xml:space="preserve">Known child data routed through COPPA</w:t>
      </w:r>
      <w:r>
        <w:t xml:space="preserve"> — Required (MUST)</w:t>
      </w:r>
    </w:p>
    <w:p>
      <w:pPr>
        <w:spacing w:before="0" w:after="120"/>
        <w:ind w:left="540"/>
      </w:pPr>
      <w:r>
        <w:t xml:space="preserve">When the business has known child users — a child under 13, as COPPA defines the term — it must handle that child's data in accordance with COPPA, as the comprehensive acts incorporate. This is a federal duty, tied to online collection by covered operators, independent of any state coverage flag, and it is narrower than the separate minor-user duties some states impose for teens. </w:t>
      </w:r>
    </w:p>
    <w:p>
      <w:pPr>
        <w:keepNext/>
        <w:spacing w:before="360" w:after="160"/>
      </w:pPr>
      <w:r>
        <w:rPr>
          <w:b/>
          <w:sz w:val="28"/>
          <w:szCs w:val="28"/>
        </w:rPr>
        <w:t xml:space="preserve">6. Maintenance and accuracy</w:t>
      </w:r>
    </w:p>
    <w:p>
      <w:pPr>
        <w:keepNext/>
        <w:spacing w:before="200" w:after="80"/>
      </w:pPr>
      <w:r>
        <w:rPr>
          <w:rFonts w:ascii="Segoe UI Symbol" w:hAnsi="Segoe UI Symbol"/>
        </w:rPr>
        <w:t xml:space="preserve">☐  </w:t>
      </w:r>
      <w:r>
        <w:rPr>
          <w:b/>
        </w:rPr>
        <w:t xml:space="preserve">6.1  </w:t>
      </w:r>
      <w:r>
        <w:rPr>
          <w:b/>
        </w:rPr>
        <w:t xml:space="preserve">Policy reviewed and refreshed</w:t>
      </w:r>
      <w:r>
        <w:t xml:space="preserve"> — Recommended (SHOULD)</w:t>
      </w:r>
    </w:p>
    <w:p>
      <w:pPr>
        <w:spacing w:before="0" w:after="120"/>
        <w:ind w:left="540"/>
      </w:pPr>
      <w:r>
        <w:t xml:space="preserve">The policy should be reviewed and updated, and should carry a current effective or last-updated date, because laws such as the CCPA require a business to update its disclosures at least once every 12 months. A stale policy that no longer matches practice is both a contents gap and an accuracy exposure. </w:t>
      </w:r>
    </w:p>
    <w:p>
      <w:pPr>
        <w:keepNext/>
        <w:spacing w:before="200" w:after="80"/>
      </w:pPr>
      <w:r>
        <w:rPr>
          <w:rFonts w:ascii="Segoe UI Symbol" w:hAnsi="Segoe UI Symbol"/>
        </w:rPr>
        <w:t xml:space="preserve">☐  </w:t>
      </w:r>
      <w:r>
        <w:rPr>
          <w:b/>
        </w:rPr>
        <w:t xml:space="preserve">6.2  </w:t>
      </w:r>
      <w:r>
        <w:rPr>
          <w:b/>
        </w:rPr>
        <w:t xml:space="preserve">Material-change notice described</w:t>
      </w:r>
      <w:r>
        <w:t xml:space="preserve"> — Recommended (SHOULD)</w:t>
      </w:r>
    </w:p>
    <w:p>
      <w:pPr>
        <w:spacing w:before="0" w:after="120"/>
        <w:ind w:left="540"/>
      </w:pPr>
      <w:r>
        <w:t xml:space="preserve">The policy should describe how the business notifies consumers of material changes to it. This is a fixed element of the website-operator notice. </w:t>
      </w:r>
    </w:p>
    <w:p>
      <w:pPr>
        <w:keepNext/>
        <w:spacing w:before="200" w:after="80"/>
      </w:pPr>
      <w:r>
        <w:rPr>
          <w:rFonts w:ascii="Segoe UI Symbol" w:hAnsi="Segoe UI Symbol"/>
        </w:rPr>
        <w:t xml:space="preserve">☐  </w:t>
      </w:r>
      <w:r>
        <w:rPr>
          <w:b/>
        </w:rPr>
        <w:t xml:space="preserve">6.3  </w:t>
      </w:r>
      <w:r>
        <w:rPr>
          <w:b/>
        </w:rPr>
        <w:t xml:space="preserve">Policy matches actual practice</w:t>
      </w:r>
      <w:r>
        <w:t xml:space="preserve"> — Required (MUST)</w:t>
      </w:r>
    </w:p>
    <w:p>
      <w:pPr>
        <w:spacing w:before="0" w:after="120"/>
        <w:ind w:left="540"/>
      </w:pPr>
      <w:r>
        <w:t xml:space="preserve">The policy must accurately describe the business's actual data practices, and the business must follow the practices it describes. A policy that misstates actual practice is an unfair or deceptive act under FTC Act Section 5, and state consumer-protection (UDAP) statutes commonly reach the same conduct — in several states through a private right of action. This is the floor that makes every controls-promising disclosure above enforceable. </w:t>
      </w:r>
    </w:p>
    <w:p>
      <w:pPr>
        <w:keepNext/>
        <w:spacing w:before="360" w:after="160"/>
      </w:pPr>
      <w:r>
        <w:rPr>
          <w:b/>
          <w:sz w:val="28"/>
          <w:szCs w:val="28"/>
        </w:rPr>
        <w:t xml:space="preserve">7. Data-type and status modules (conditional)</w:t>
      </w:r>
    </w:p>
    <w:p>
      <w:pPr>
        <w:keepNext/>
        <w:spacing w:before="200" w:after="80"/>
      </w:pPr>
      <w:r>
        <w:rPr>
          <w:rFonts w:ascii="Segoe UI Symbol" w:hAnsi="Segoe UI Symbol"/>
        </w:rPr>
        <w:t xml:space="preserve">☐  </w:t>
      </w:r>
      <w:r>
        <w:rPr>
          <w:b/>
        </w:rPr>
        <w:t xml:space="preserve">7.1  </w:t>
      </w:r>
      <w:r>
        <w:rPr>
          <w:b/>
        </w:rPr>
        <w:t xml:space="preserve">Sensitive-data sale notice</w:t>
      </w:r>
      <w:r>
        <w:t xml:space="preserve"> — Required (MUST)</w:t>
      </w:r>
    </w:p>
    <w:p>
      <w:pPr>
        <w:spacing w:before="0" w:after="120"/>
        <w:ind w:left="540"/>
      </w:pPr>
      <w:r>
        <w:t xml:space="preserve">When the Texas Data Privacy and Security Act covers the business and it sells sensitive personal data, the policy must include the fixed statutory notice Texas prescribes word for word. Because the governing act prescribes exact language, copy the notice verbatim rather than paraphrasing it; other states scope their sensitive-data-sale disclosures differently. </w:t>
      </w:r>
    </w:p>
    <w:p>
      <w:pPr>
        <w:keepNext/>
        <w:spacing w:before="200" w:after="80"/>
      </w:pPr>
      <w:r>
        <w:rPr>
          <w:rFonts w:ascii="Segoe UI Symbol" w:hAnsi="Segoe UI Symbol"/>
        </w:rPr>
        <w:t xml:space="preserve">☐  </w:t>
      </w:r>
      <w:r>
        <w:rPr>
          <w:b/>
        </w:rPr>
        <w:t xml:space="preserve">7.2  </w:t>
      </w:r>
      <w:r>
        <w:rPr>
          <w:b/>
        </w:rPr>
        <w:t xml:space="preserve">Biometric retention schedule</w:t>
      </w:r>
      <w:r>
        <w:t xml:space="preserve"> — Required (MUST)</w:t>
      </w:r>
    </w:p>
    <w:p>
      <w:pPr>
        <w:spacing w:before="0" w:after="120"/>
        <w:ind w:left="540"/>
      </w:pPr>
      <w:r>
        <w:t xml:space="preserve">When the business possesses biometric identifiers, it must maintain a written, publicly available policy with a retention schedule and destruction guidelines — destroying biometric data when the collection purpose is satisfied or within three years of the last interaction, whichever comes first. </w:t>
      </w:r>
    </w:p>
    <w:p>
      <w:pPr>
        <w:keepNext/>
        <w:spacing w:before="200" w:after="80"/>
      </w:pPr>
      <w:r>
        <w:rPr>
          <w:rFonts w:ascii="Segoe UI Symbol" w:hAnsi="Segoe UI Symbol"/>
        </w:rPr>
        <w:t xml:space="preserve">☐  </w:t>
      </w:r>
      <w:r>
        <w:rPr>
          <w:b/>
        </w:rPr>
        <w:t xml:space="preserve">7.3  </w:t>
      </w:r>
      <w:r>
        <w:rPr>
          <w:b/>
        </w:rPr>
        <w:t xml:space="preserve">Biometric written release</w:t>
      </w:r>
      <w:r>
        <w:t xml:space="preserve"> — Required (MUST)</w:t>
      </w:r>
    </w:p>
    <w:p>
      <w:pPr>
        <w:spacing w:before="0" w:after="120"/>
        <w:ind w:left="540"/>
      </w:pPr>
      <w:r>
        <w:t xml:space="preserve">Before collecting a biometric identifier, the business must give written notice of the collection, its specific purpose, and its retention term, and obtain a written release. This is a pre-collection flow, not a policy paragraph. </w:t>
      </w:r>
    </w:p>
    <w:p>
      <w:pPr>
        <w:keepNext/>
        <w:spacing w:before="200" w:after="80"/>
      </w:pPr>
      <w:r>
        <w:rPr>
          <w:rFonts w:ascii="Segoe UI Symbol" w:hAnsi="Segoe UI Symbol"/>
        </w:rPr>
        <w:t xml:space="preserve">☐  </w:t>
      </w:r>
      <w:r>
        <w:rPr>
          <w:b/>
        </w:rPr>
        <w:t xml:space="preserve">7.4  </w:t>
      </w:r>
      <w:r>
        <w:rPr>
          <w:b/>
        </w:rPr>
        <w:t xml:space="preserve">Consumer-health-data policy</w:t>
      </w:r>
      <w:r>
        <w:t xml:space="preserve"> — Required (MUST)</w:t>
      </w:r>
    </w:p>
    <w:p>
      <w:pPr>
        <w:spacing w:before="0" w:after="120"/>
        <w:ind w:left="540"/>
      </w:pPr>
      <w:r>
        <w:t xml:space="preserve">When the business collects consumer health data, it must maintain a dedicated consumer-health-data privacy policy disclosing the statutory elements, including the list of third-party categories and specific affiliates receiving the data. </w:t>
      </w:r>
    </w:p>
    <w:p>
      <w:pPr>
        <w:keepNext/>
        <w:spacing w:before="200" w:after="80"/>
      </w:pPr>
      <w:r>
        <w:rPr>
          <w:rFonts w:ascii="Segoe UI Symbol" w:hAnsi="Segoe UI Symbol"/>
        </w:rPr>
        <w:t xml:space="preserve">☐  </w:t>
      </w:r>
      <w:r>
        <w:rPr>
          <w:b/>
        </w:rPr>
        <w:t xml:space="preserve">7.5  </w:t>
      </w:r>
      <w:r>
        <w:rPr>
          <w:b/>
        </w:rPr>
        <w:t xml:space="preserve">Consent gate for health data</w:t>
      </w:r>
      <w:r>
        <w:t xml:space="preserve"> — Prohibited (MUST NOT)</w:t>
      </w:r>
    </w:p>
    <w:p>
      <w:pPr>
        <w:spacing w:before="0" w:after="120"/>
        <w:ind w:left="540"/>
      </w:pPr>
      <w:r>
        <w:t xml:space="preserve">The business must not collect consumer health data except with consent for a specified purpose, or to the extent necessary to provide a product or service the consumer requested. This is a consent-before-collection gate. </w:t>
      </w:r>
    </w:p>
    <w:p>
      <w:pPr>
        <w:keepNext/>
        <w:spacing w:before="200" w:after="80"/>
      </w:pPr>
      <w:r>
        <w:rPr>
          <w:rFonts w:ascii="Segoe UI Symbol" w:hAnsi="Segoe UI Symbol"/>
        </w:rPr>
        <w:t xml:space="preserve">☐  </w:t>
      </w:r>
      <w:r>
        <w:rPr>
          <w:b/>
        </w:rPr>
        <w:t xml:space="preserve">7.6  </w:t>
      </w:r>
      <w:r>
        <w:rPr>
          <w:b/>
        </w:rPr>
        <w:t xml:space="preserve">Website-operator notice</w:t>
      </w:r>
      <w:r>
        <w:t xml:space="preserve"> — Recommended (SHOULD)</w:t>
      </w:r>
    </w:p>
    <w:p>
      <w:pPr>
        <w:spacing w:before="0" w:after="120"/>
        <w:ind w:left="540"/>
      </w:pPr>
      <w:r>
        <w:t xml:space="preserve">When the business is a covered website operator, the policy should make available the five-element accessible notice: categories of covered information and of third-party recipients, the review-and-change process if any, the material-change notification process, third-party cross-site collection, and the effective date. </w:t>
      </w:r>
    </w:p>
    <w:p>
      <w:pPr>
        <w:keepNext/>
        <w:spacing w:before="200" w:after="80"/>
      </w:pPr>
      <w:r>
        <w:rPr>
          <w:rFonts w:ascii="Segoe UI Symbol" w:hAnsi="Segoe UI Symbol"/>
        </w:rPr>
        <w:t xml:space="preserve">☐  </w:t>
      </w:r>
      <w:r>
        <w:rPr>
          <w:b/>
        </w:rPr>
        <w:t xml:space="preserve">7.7  </w:t>
      </w:r>
      <w:r>
        <w:rPr>
          <w:b/>
        </w:rPr>
        <w:t xml:space="preserve">Minor-user disclosures</w:t>
      </w:r>
      <w:r>
        <w:t xml:space="preserve"> — Recommended (SHOULD)</w:t>
      </w:r>
    </w:p>
    <w:p>
      <w:pPr>
        <w:spacing w:before="0" w:after="120"/>
        <w:ind w:left="540"/>
      </w:pPr>
      <w:r>
        <w:t xml:space="preserve">When the business directs services to, or has actual knowledge of, minor users, the policy should provide the applicable states' minors'-disclosure duties. These components activate on staggered effective dates, so confirm the precise per-state contents and timing in the governing states' notes before drafting this section.</w:t>
      </w:r>
    </w:p>
    <w:p>
      <w:pPr>
        <w:keepNext/>
        <w:spacing w:before="200" w:after="80"/>
      </w:pPr>
      <w:r>
        <w:rPr>
          <w:rFonts w:ascii="Segoe UI Symbol" w:hAnsi="Segoe UI Symbol"/>
        </w:rPr>
        <w:t xml:space="preserve">☐  </w:t>
      </w:r>
      <w:r>
        <w:rPr>
          <w:b/>
        </w:rPr>
        <w:t xml:space="preserve">7.8  </w:t>
      </w:r>
      <w:r>
        <w:rPr>
          <w:b/>
        </w:rPr>
        <w:t xml:space="preserve">Data-broker opt-out disclosure</w:t>
      </w:r>
      <w:r>
        <w:t xml:space="preserve"> — Recommended (SHOULD)</w:t>
      </w:r>
    </w:p>
    <w:p>
      <w:pPr>
        <w:spacing w:before="0" w:after="120"/>
        <w:ind w:left="540"/>
      </w:pPr>
      <w:r>
        <w:t xml:space="preserve">When the business is a data broker — it knowingly sells or licenses to third parties the brokered personal information of consumers with whom it has no direct relationship </w:t>
      </w:r>
      <w:r>
        <w:t xml:space="preserve"> — the policy should disclose its opt-out practices: the method to request an opt-out, which activities or sales it covers, and whether a third party may exercise it, consistent with the broker's registration filing. </w:t>
      </w:r>
    </w:p>
    <w:p>
      <w:pPr>
        <w:keepNext/>
        <w:spacing w:before="200" w:after="80"/>
      </w:pPr>
      <w:r>
        <w:rPr>
          <w:rFonts w:ascii="Segoe UI Symbol" w:hAnsi="Segoe UI Symbol"/>
        </w:rPr>
        <w:t xml:space="preserve">☐  </w:t>
      </w:r>
      <w:r>
        <w:rPr>
          <w:b/>
        </w:rPr>
        <w:t xml:space="preserve">7.9  </w:t>
      </w:r>
      <w:r>
        <w:rPr>
          <w:b/>
        </w:rPr>
        <w:t xml:space="preserve">Data-broker registration</w:t>
      </w:r>
      <w:r>
        <w:t xml:space="preserve"> — Required (MUST)</w:t>
      </w:r>
    </w:p>
    <w:p>
      <w:pPr>
        <w:spacing w:before="0" w:after="120"/>
        <w:ind w:left="540"/>
      </w:pPr>
      <w:r>
        <w:t xml:space="preserve">A data broker must register annually with the governing state — in Vermont, with the Secretary of State by January 31, paying the fee and providing the prescribed disclosures. This is a conduct duty that lives outside the policy's four corners; California, Texas, and Oregon impose parallel broker registration, detailed in the per-state notes. </w:t>
      </w:r>
    </w:p>
    <w:p>
      <w:pPr>
        <w:spacing w:before="360" w:after="0"/>
      </w:pPr>
      <w:r>
        <w:rPr>
          <w:color w:val="666666"/>
          <w:sz w:val="16"/>
          <w:szCs w:val="16"/>
        </w:rPr>
        <w:t xml:space="preserve">Steven Obiajulu, J.D. edits this review checklist for Jurisdiction-neutral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