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Wyoming</w:t>
      </w:r>
    </w:p>
    <w:p>
      <w:pPr>
        <w:spacing w:before="0" w:after="120"/>
      </w:pPr>
      <w:r>
        <w:rPr>
          <w:i/>
          <w:color w:val="444444"/>
        </w:rPr>
        <w:t xml:space="preserve">A clause-by-clause reviewer checklist for Wyoming employee restrictive covenant agreements — confidentiality, non-solicits, non-competes, and non-disparagement under Wyo. Stat. § 1-23-108 and Wyoming case law.</w:t>
      </w:r>
    </w:p>
    <w:p>
      <w:pPr>
        <w:spacing w:before="0" w:after="240"/>
      </w:pPr>
      <w:r>
        <w:rPr>
          <w:color w:val="666666"/>
          <w:sz w:val="18"/>
          <w:szCs w:val="18"/>
        </w:rPr>
        <w:t xml:space="preserve">By Steven Obiajulu, J.D. Last reviewed 2026-06-11. License: CC BY 4.0. https://openagreements.org/checklists/non-compete/us/wyoming</w:t>
      </w:r>
    </w:p>
    <w:p>
      <w:pPr>
        <w:keepNext/>
        <w:spacing w:before="360" w:after="160"/>
      </w:pPr>
      <w:r>
        <w:rPr>
          <w:b/>
          <w:sz w:val="28"/>
          <w:szCs w:val="28"/>
        </w:rPr>
        <w:t xml:space="preserve">1. Parties and cover-term identification</w:t>
      </w:r>
    </w:p>
    <w:p>
      <w:pPr>
        <w:spacing w:before="0" w:after="120"/>
      </w:pPr>
      <w:r>
        <w:t xml:space="preserve">Every item below reads the agreement the way a Wyoming court would — against a 2025 statute that voids most labor non-competes and case law that refuses to repair overbroad drafting. For the question-by-question legal analysis behind these items, see the </w:t>
      </w:r>
      <w:r>
        <w:t xml:space="preserve">Wyoming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employer entity named in the cover terms is the one that actually employs the worker. Wyoming's statutory exceptions attach to specific relationships — a sale-of-business covenant binds the seller, an executive covenant binds the executive's employer — so a mismatched entity muddies which pathway, if any, the covenant can claim.</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Wyoming the effective date is not housekeeping: it picks the legal regime. Contracts entered into on or after July 1, 2025 are tested against Wyo. Stat. § 1-23-108's void-unless-excepted rule, while earlier agreements stay under the common law. An undated or ambiguously dated instrument leaves that threshold question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not just the name. The exception Wyoming employers lean on most — executive and management personnel and their professional staff — turns on what the worker actually does, so the recorded title and duties are the first exhibit in any pathway argument.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and treat a clause selecting a friendlier state's law for a Wyoming-based worker with suspicion. Now that the legislature has declared most labor non-competes void, a foreign choice-of-law clause invites a public-policy attack rather than resolving the question.</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In Wyoming the confidentiality definition does double duty: it protects information day-to-day and frames any later argument that a covenant fits the trade-secret pathway. A definition that sweeps in general skills and industry knowledge invites the counter-argument that the clause restrains labor rather than secrets.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Wyoming keys its trade-secret exception to the criminal code's definition at W.S. 6-3-501(a)(xi), so a covenant relying on that pathway should define trade secrets in terms that track the statutory bar rather than fold them into general confidential information. How broadly courts will read the carve-out remains an open question.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keeps the duration analysis auditable. In a state that voids rather than trims, a stray clause running on its own longer clock is exactly the drafting slip that can put a whole covenant at risk.</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Wyoming's common-law test — still governing pre-2025 covenants and covenants drafted into a statutory exception — demands reasonable durational and geographic limits, with the employer carrying the burden. Tie the territory to where the worker actually operated, not to everywhere the company has ambitions.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vendors, and referral sources the worker dealt with during a stated look-back window. The wider the class reaches beyond actual contact, the stronger the argument that the clause is a covered covenant not to compete travelling under another name.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Limit the no-poach class to colleagues the departing worker actually worked with or supervised during the look-back window. Wyoming's statute has no express non-solicit exception, so restraint in this definition is what keeps the clause out of the classification fight.</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Spell out the interests the covenants serve. Wyoming strictly construes restraints against the employer and voids them unless necessary for the employer's reasonable protection, so this definition is the foundation the enforcing party will have to stand 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actual competing activity, narrowly. Because a Wyoming court will not shave an expansive definition down to size, an aggressive competitive-business clause risks the entire covenant rather than just the excess.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check for a passive-holdings carve-out below a stated threshold. A clause that technically forbids index funds and ordinary public-company shares is overbroad on its face — and in Wyoming, facial overbreadth is fatal rather than trimmable.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drafting mechanic — many agreements inline the carve-out without a capitalized term. If the defined term exists, verify its threshold matches the operative carve-out language.</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solicitation means initiating contact, accepting business, or both. In Wyoming the stakes are classification: the more conduct the term reaches, the closer the clause moves to a restraint on receiving compensation for labor — the very thing the statute voids.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Confirm the trigger covers resignation, dismissal, and expiration of a fixed term alike. The restricted-period math only works if the start event is unambiguous regardless of who ended the relationship.</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In Wyoming this acknowledgement preserves substantive facts: a covenant signed after employment begins requires separate contemporaneous consideration, because continued employment alone will not support it. The recital should say when signing happened relative to the start date and what new value was exchanged.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Inexpensive procedural-fairness evidence in a state whose courts rigidly scan restraints against the employer. No Wyoming statute requires the acknowledgement, but it undercuts any later narrative that the covenant was sprung on the worker.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for as long as secrecy persists — that is how federal law defines the right, and in Wyoming it also preserves the argument that an associated covenant fits the trade-secret pathway. A fixed end date concedes statutory protection for nothing in return.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obligation. A perpetual restraint on non-secret information reads as overreach in a state already primed to void rather than narrow.</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Required by federal law in Wyoming as everywhere else. An employer that omits the immunity notice forfeits exemplary damages and attorney fees in a later trade-secret suit against the worker — a silent, self-inflicted loss.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Wage-and-working-conditions speech is federally protected, and confidentiality and non-disparagement language must yield to it. The Board's recent decisions strike overbroad clauses no matter which state's law governs the contract.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Verify the carve-out for disclosure required by law, court order, or a government investigation, with notice to the employer where lawful. No contract overrides compelled process; the carve-out keeps the worker from being squeezed between competing obligations.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In Wyoming, where the surviving restraints after 2025 are mostly confidentiality-shaped, the certification is the employer's cleanest evidence if protected information later walks out the door.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Wyoming, commentary splits on whether the 2025 statute leaves it untouched. Keep the clause scoped to the defined Covered Employees class and the Restricted Period, and treat breadth that approaches a recruiting ban as classification risk.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present, confirm it reaches only Covered Customers for the Restricted Period. The statute contains no express carve-out for customer non-solicits, so the clause survives by staying narrow enough that no court needs to classify it as a covenant not to compete.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make the first call — functionally closer to a non-compete than a non-solicit. In Wyoming that proximity is dangerous: a court asked to classify the clause could place it inside the statutory void.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post-July-2025 Wyoming non-compete is void unless it fits one of four statutory pathways — there is no general reasonableness fallback. If this clause appears, route the review through the Wyoming statutory-gate items at the end of this checklist before anything else about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A named-competitor list is the Wyoming-rational way to draft. The state supreme court has said outright that refusing to blue-pencil is meant to push employers toward incorporating only reasonable restraints in the first place — a covenant scoped to actual competitors is that instruction followed.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runs on the shared Restricted Period — and watch for investment language broad enough to restrain how the worker earns a living, which is where Wyoming's statute bites.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inclusion with a stated term, but the carve-outs do the legal work: truthful testimony, statements to government agencies, and protected workplace speech must stay outside the clause's reach, or federal labor law will treat the whole provision as overbroad.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recite both Wyoming physician rules: practice-restraining non-competes between physicians are void, and a departing physician may tell rare-disorder patients where the practice moved without liability. Do not lean on the executive exception for physicians employed by hospitals or other non-physician entities — the statute's outer reach there is unsettled.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Useful everywhere — and in Wyoming it also surfaces legacy pre-2025 covenants, which remain enforceable under common law and can ambush an unwary new employer.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any disclosure on a reasonable belief of breach — telling a new employer about a covenant Wyoming's statute likely voids is a tortious-interference claim waiting to be filed.</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know the Wyoming posture before approving one: no published Wyoming authority blesses tolling, and the added duration faces the same strict scrutiny as the original term, with voiding rather than trimming as the realistic downside.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Wyoming has no statutory presumption of irreparable injury for covenant breaches, so this contractual recital is most of the scaffolding an employer brings to the emergency-relief stage.</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Fee-shifting remains a commercial choice in Wyoming — no covenant-specific fee statute displaces the American Rule. If the clause appears, check that it is mutual and keyed to prevailing-party status rather than one-way in the employer's favor.</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Judicial reformation disclaimed</w:t>
      </w:r>
      <w:r>
        <w:t xml:space="preserve"> — Required (MUST)</w:t>
      </w:r>
    </w:p>
    <w:p>
      <w:pPr>
        <w:spacing w:before="0" w:after="120"/>
        <w:ind w:left="540"/>
      </w:pPr>
      <w:r>
        <w:t xml:space="preserve">Flip the usual severability instinct: in Wyoming the clause must disclaim judicial reformation, not request it. Savings language inviting a court to trim an overbroad covenant is ineffective here — the supreme court refuses to redraft non-competes, and an overbroad covenant is void in its entirety — so the agreement has to be drafted within the enforceable scope from the outset, and the severability clause should say exactly that.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Bundled survival language is how an unreviewed duration slips through, and in Wyoming an indefensible duration voids the covenant it sits in rather than getting shortened.</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Pre-2025 Wyoming covenants give this clause extra freight: how a transaction restructures the agreement can bear on whether a grandfathered covenant keeps its pre-statute status.</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Governing law, venue, and process should point the same direction. Do not expect an out-of-state choice-of-law clause to rescue a covenant for a Wyoming-based worker: courts can refuse a chosen law that offends local public policy, as New York's highest court did with a Florida clause.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Wyoming twist: how changes get made matters. Replacing a pre-July-2025 agreement wholesale creates a new post-statute contract that may swap an enforceable covenant for a void one, while amending or renewing under the existing terms can preserve grandfathered status — so review the amendment mechanics with that trade in mind. </w:t>
      </w:r>
    </w:p>
    <w:p>
      <w:pPr>
        <w:keepNext/>
        <w:spacing w:before="360" w:after="160"/>
      </w:pPr>
      <w:r>
        <w:rPr>
          <w:b/>
          <w:sz w:val="28"/>
          <w:szCs w:val="28"/>
        </w:rPr>
        <w:t xml:space="preserve">19. Wyoming statutory gates (Wyo. Stat. § 1-23-108)</w:t>
      </w:r>
    </w:p>
    <w:p>
      <w:pPr>
        <w:spacing w:before="0" w:after="120"/>
      </w:pPr>
      <w:r>
        <w:t xml:space="preserve">The five items below exist only on this Wyoming page: they implement the 2025 statute's pathway gating and the case-law rules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Statutory pathway named</w:t>
      </w:r>
      <w:r>
        <w:t xml:space="preserve"> — Required (MUST)</w:t>
      </w:r>
    </w:p>
    <w:p>
      <w:pPr>
        <w:spacing w:before="0" w:after="120"/>
        <w:ind w:left="540"/>
      </w:pPr>
      <w:r>
        <w:t xml:space="preserve">Any non-compete entered into on or after July 1, 2025 must identify which of the four statutory pathways authorizes it: sale of a business, trade-secret protection, tenure-capped recovery of relocation, education, and training expense, or executive and management personnel and their professional staff. A covenant claiming no pathway is void, and a recital naming the pathway makes the gate reviewable on the face of the document instead of in litigation. </w:t>
      </w:r>
    </w:p>
    <w:p>
      <w:pPr>
        <w:keepNext/>
        <w:spacing w:before="200" w:after="80"/>
      </w:pPr>
      <w:r>
        <w:rPr>
          <w:rFonts w:ascii="Segoe UI Symbol" w:hAnsi="Segoe UI Symbol"/>
        </w:rPr>
        <w:t xml:space="preserve">☐  </w:t>
      </w:r>
      <w:r>
        <w:rPr>
          <w:b/>
        </w:rPr>
        <w:t xml:space="preserve">19.2  </w:t>
      </w:r>
      <w:r>
        <w:rPr>
          <w:b/>
        </w:rPr>
        <w:t xml:space="preserve">Training-repayment caps by tenure</w:t>
      </w:r>
      <w:r>
        <w:t xml:space="preserve"> — Required (MUST)</w:t>
      </w:r>
    </w:p>
    <w:p>
      <w:pPr>
        <w:spacing w:before="0" w:after="120"/>
        <w:ind w:left="540"/>
      </w:pPr>
      <w:r>
        <w:t xml:space="preserve">If the pathway is training-cost recovery, audit the schedule: up to 100 percent of documented expense below two years of service, 66 percent from two to three, 33 percent from three to four, and nothing at four or more. Recovery must tie to actual relocation, education, or training spend — a flat repayment untethered from documented cost reads as a penalty on competing rather than expense recovery. </w:t>
      </w:r>
    </w:p>
    <w:p>
      <w:pPr>
        <w:keepNext/>
        <w:spacing w:before="200" w:after="80"/>
      </w:pPr>
      <w:r>
        <w:rPr>
          <w:rFonts w:ascii="Segoe UI Symbol" w:hAnsi="Segoe UI Symbol"/>
        </w:rPr>
        <w:t xml:space="preserve">☐  </w:t>
      </w:r>
      <w:r>
        <w:rPr>
          <w:b/>
        </w:rPr>
        <w:t xml:space="preserve">19.3  </w:t>
      </w:r>
      <w:r>
        <w:rPr>
          <w:b/>
        </w:rPr>
        <w:t xml:space="preserve">Separate consideration for post-hire signing</w:t>
      </w:r>
      <w:r>
        <w:t xml:space="preserve"> — Required (MUST)</w:t>
      </w:r>
    </w:p>
    <w:p>
      <w:pPr>
        <w:spacing w:before="0" w:after="120"/>
        <w:ind w:left="540"/>
      </w:pPr>
      <w:r>
        <w:t xml:space="preserve">A covenant signed after the start date needs its own consideration — a bonus, equity grant, promotion, or other identifiable new value, recited in the agreement. Continued employment alone is not enough under Wyoming case law, and the defect makes the covenant unenforceable regardless of which statutory pathway it claims. </w:t>
      </w:r>
    </w:p>
    <w:p>
      <w:pPr>
        <w:keepNext/>
        <w:spacing w:before="200" w:after="80"/>
      </w:pPr>
      <w:r>
        <w:rPr>
          <w:rFonts w:ascii="Segoe UI Symbol" w:hAnsi="Segoe UI Symbol"/>
        </w:rPr>
        <w:t xml:space="preserve">☐  </w:t>
      </w:r>
      <w:r>
        <w:rPr>
          <w:b/>
        </w:rPr>
        <w:t xml:space="preserve">19.4  </w:t>
      </w:r>
      <w:r>
        <w:rPr>
          <w:b/>
        </w:rPr>
        <w:t xml:space="preserve">No physician non-compete</w:t>
      </w:r>
      <w:r>
        <w:t xml:space="preserve"> — Prohibited (MUST NOT)</w:t>
      </w:r>
    </w:p>
    <w:p>
      <w:pPr>
        <w:spacing w:before="0" w:after="120"/>
        <w:ind w:left="540"/>
      </w:pPr>
      <w:r>
        <w:t xml:space="preserve">The agreement must not impose a non-compete on a physician. The statute voids practice restraints in agreements between physicians, and because the carve-out's reach beyond physician-owned practices is unresolved — and an overbroad guess cannot be judicially repaired in Wyoming — the defensible posture is to omit the restraint for every physician and recite the rare-disorder patient-contact right instead. </w:t>
      </w:r>
    </w:p>
    <w:p>
      <w:pPr>
        <w:keepNext/>
        <w:spacing w:before="200" w:after="80"/>
      </w:pPr>
      <w:r>
        <w:rPr>
          <w:rFonts w:ascii="Segoe UI Symbol" w:hAnsi="Segoe UI Symbol"/>
        </w:rPr>
        <w:t xml:space="preserve">☐  </w:t>
      </w:r>
      <w:r>
        <w:rPr>
          <w:b/>
        </w:rPr>
        <w:t xml:space="preserve">19.5  </w:t>
      </w:r>
      <w:r>
        <w:rPr>
          <w:b/>
        </w:rPr>
        <w:t xml:space="preserve">Non-solicits limited to actual contacts</w:t>
      </w:r>
      <w:r>
        <w:t xml:space="preserve"> — Avoid (SHOULD NOT)</w:t>
      </w:r>
    </w:p>
    <w:p>
      <w:pPr>
        <w:spacing w:before="0" w:after="120"/>
        <w:ind w:left="540"/>
      </w:pPr>
      <w:r>
        <w:t xml:space="preserve">Non-solicits and non-dealing clauses should not reach beyond people the worker actually dealt with: not every customer of the company, not every employee, and not business the worker never touched. Breadth is what converts these clauses into covenant-not-to-compete equivalents subject to the statute's voidability rules. </w:t>
      </w:r>
    </w:p>
    <w:p>
      <w:pPr>
        <w:spacing w:before="360" w:after="0"/>
      </w:pPr>
      <w:r>
        <w:rPr>
          <w:color w:val="666666"/>
          <w:sz w:val="16"/>
          <w:szCs w:val="16"/>
        </w:rPr>
        <w:t xml:space="preserve">Steven Obiajulu, J.D. edits this review checklist for Wyoming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