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West Virginia</w:t>
      </w:r>
    </w:p>
    <w:p>
      <w:pPr>
        <w:spacing w:before="0" w:after="120"/>
      </w:pPr>
      <w:r>
        <w:rPr>
          <w:i/>
          <w:color w:val="444444"/>
        </w:rPr>
        <w:t xml:space="preserve">A clause-by-clause reviewer checklist for West Virginia employee restrictive covenant agreements — confidentiality, non-solicits, non-competes, and non-disparagement under the Reddy reasonableness framework, where a facially unreasonable covenant is void with no judicial narrowing and physician covenants are capped at one year and thirty road miles.</w:t>
      </w:r>
    </w:p>
    <w:p>
      <w:pPr>
        <w:spacing w:before="0" w:after="240"/>
      </w:pPr>
      <w:r>
        <w:rPr>
          <w:color w:val="666666"/>
          <w:sz w:val="18"/>
          <w:szCs w:val="18"/>
        </w:rPr>
        <w:t xml:space="preserve">By Steven Obiajulu, J.D. Last reviewed 2026-06-12. License: CC BY 4.0. https://openagreements.org/checklists/non-compete/us/west-virginia</w:t>
      </w:r>
    </w:p>
    <w:p>
      <w:pPr>
        <w:keepNext/>
        <w:spacing w:before="360" w:after="160"/>
      </w:pPr>
      <w:r>
        <w:rPr>
          <w:b/>
          <w:sz w:val="28"/>
          <w:szCs w:val="28"/>
        </w:rPr>
        <w:t xml:space="preserve">1. Parties and cover-term identification</w:t>
      </w:r>
    </w:p>
    <w:p>
      <w:pPr>
        <w:spacing w:before="0" w:after="120"/>
      </w:pPr>
      <w:r>
        <w:t xml:space="preserve">Review every item below the way a West Virginia court would: the employer must first prove an interest requiring protection, the restraint then has to pass the three-part reasonableness inquiry, and a covenant unreasonable on its face is void with not even partial enforcement. For the question-by-question legal analysis behind these items, see the </w:t>
      </w:r>
      <w:r>
        <w:t xml:space="preserve">West Virginia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interests the covenants protect. The first move in any West Virginia enforcement fight is the employer showing it has an interest requiring protection, so a covenant running to an affiliate that owns no trade secrets, customer relationships, or training investment starts that showing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answer three separate questions here: when each restricted period starts and ends, whether the covenant was signed at hire or after employment had already begun — which decides whether new consideration is required — and, for a physician contract, whether the instrument was entered into, modified, renewed, or extended on or after July 1, 2017, which pulls it inside the physician statute. An undated covenant leaves all three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on the protectable-interest gate. A role built on general managerial skills — supervising, merchandising, purchasing, advertising — gives the employer nothing protectable to restrain, and a form covenant pinned to such a role fails before reasonableness is ever reached.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West Virginia law controls — the protectable-interest gate, the three-part reasonableness test, the facial-voidness rule, and the physician statute. A different choice of law trades this framework for another one and deserves its own review.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Tie the definition to information the employer actually keeps confidential. Trade secrets and customer lists are the assets West Virginia courts are reluctant to let a former employee exploit; a definition that sweeps in general know-how or public information stretches the clause toward a practical work ban that has to survive the full reasonableness framework.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from ordinary confidential information. Trade secrets sit at the top of the protectable-interest hierarchy here — they are the cleanest justification for any restraint in the agreement — and a separate definition is what lets the perpetual trade-secret obligation and the finite confidentiality term run on different clocks.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 and in West Virginia an excessively broad time limit is not a trimming exercise. A facially excessive period can make the whole covenant void without even partial enforcement, so the defined term is where the agreement either earns or forfeits its credibility.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Bound the geography to where the employer's protected interests actually operate. Excessively broad area limitations are the other half of the facial-unreasonableness screen — a territory drawn around ambition rather than actual business reach risks voiding the covenant outright rather than inviting a court to shrink it.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Keep the class to customers the worker actually served or learned about through confidential information, with a stated look-back window. A customer clause in West Virginia earns its lighter treatment by following customers and information rather than a map — a definition covering the employer's entire book of business reads as a market ban instead.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No staged West Virginia case sets a separate standard for employee non-solicits, so the clause lives or dies on staying a modest restraint rather than a workforce-wide mobility ban a court could treat as a disguised non-compete.</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the West Virginia hierarchy in mind: trade secrets, customer lists, customer goodwill, and unusual employer-funded training are the assets that justify restraint, and the employer carries the burden of showing the interest and explaining how this worker could injure it. General skills recitals add words without adding enforceability.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The threshold in this state is never protection from ordinary competition, so a definition that expands to anything the employer might someday do signals a covenant aimed at the worker rather than at a protectable interest — the kind of apparent purpose that feeds the facial-unreasonableness screen.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is gratuitous overbreadth — exactly the kind of grasping detail that makes a covenant look designed to intimidate rather than protect.</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plenty of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term to the conduct West Virginia treats as piracy: soliciting the employer's customers or making use of the employer's confidential information after departure. A definition that drifts into barring all dealings or all similar work converts the clause from a non-piracy provision into something reviewed as a non-compete.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 every restricted-period clock runs from this event. For a physician contract the definition is outcome-determinative: the statute voids the covenant entirely when the employer is the one who terminates, so who ended the relationship cannot be left ambiguous.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The timing acknowledgement does heavy lifting in West Virginia: a covenant signed at the start of employment rides the job itself as consideration, but one signed after employment has commenced needs new consideration that continued at-will employment cannot supply. The acknowledgement should pin down whether signing preceded the first day of work and, if not, what new value moved.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Cheap insurance, even though no West Virginia statute demands it. The undue-hardship prong invites scrutiny of how the covenant landed on the worker, and a documented opportunity to take the agreement to a lawyer is contemporaneous evidence the process was fair rather than ambush.</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last as long as secrecy does — that is how federal law defines the right, and West Virginia's trade-secret statute runs alongside the contract rather than replacing it: the act displaces conflicting civil remedies but expressly preserves contractual ones. A fixed expiry on trade-secret protection gives away rights the statutes would otherwise keep alive.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A perpetual lid on non-secret information is the kind of clause that operates as a practical non-compete, and in this state a confidentiality covenant earns enforcement by staying tied to actual confidential information rather than to the worker's ability to do similar work.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West Virginia: omit the immunity notice and the employer forfeits exemplary damages and attorney fees in a later federal trade-secret suit against the worker. In an agreement whose strongest covenants lean on trade-secret protection,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clause can countermand a subpoena, and a contract that pretends otherwise reads as overreach in a state whose courts already screen covenants for an intimidating purpose.</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West Virginia's physician statute singles this protection out as one it never limits — provisions barring a departing physician from taking employer property, patient lists, or records survive even where the practice restraint is capped — and for every other worker the certification is the cleanest contemporaneous evidence if protected material later surfaces at a competitor.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 comparatively safe inclusion: even the physician statute — the strictest covenant law in the state — expressly preserves non-solicits covering the employer's patients and employees. Keep it inside the Covered Employees class and the Restricted Period, and resist drafting it into a de facto hiring ban that would invite non-compete-style scrutiny.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In West Virginia this clause has its own doctrinal home: a true non-piracy provision restricting solicitation of the employer's customers or use of confidential information, treated as less restrictive than a non-compete. If it appears, run it through the non-piracy gate at the end of this checklist — the lighter treatment holds only while the clause keeps that shape.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arrive on their own — a restraint on receiving business rather than on chasing it. That pushes the clause away from the solicitation-and-information conduct that earns non-piracy treatment and toward the work-ban territory measured by the full reasonableness framework; treat its inclusion as a deliberate risk decision, not boilerplate.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If a true non-compete appears, the employer owns the hard part: showing an interest requiring protection and a restraint no greater than needed — and a covenant that overreaches on its face is utterly void, with no court willing to enforce even part of it. Route the review straight through the West Virginia gates at the end of this checklist before polishing any term.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the covenant should bind those instead of leaning on the open-ended Competitive Business definition. A named list is strong evidence the restraint is no greater than required — and in a state where facial overbreadth voids the covenant whole, narrowing on the page is worth far more than narrowing a judge will never perform.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ban with no carve-out and no clear end reads as the grasping covenant the facial screen exists to catch.</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and West Virginia adds no statutory cushion of its own.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West Virginia's physician rule plainly: a covenant not to compete in a physician-employer contract is capped at one year and thirty road miles from the primary place of practice, and it is void and unenforceable if the employer terminates the physician. It should also flag the statute's edges — the limits do not apply, unless the contract says otherwise, where the physician sold the practice to the employer or in contracts among physician owners of a health care practice. </w:t>
      </w:r>
      <w:r>
        <w:t xml:space="preserve">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protects the employer against tortious-interference exposure from a prior employer and surfaces any incoming covenant early — before the first customer call, when the question can still be answered on paper rather than in court.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with a West Virginia edge: a covenant that is unreasonable on its face is utterly void, so a warning letter waving such a covenant at a new employer asserts an instrument with no legal force — and trades enforcement value for tortious-interference exposure. If the clause appears, condition any third-party notice on a covenant that would actually survive review. </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treat any extension mechanism as an open West Virginia question. No staged appellate decision squarely decides whether a court may add time for a breach or a lawsuit, and the surrounding rules cut against assuming it: a court that holds a facially unreasonable covenant utterly void, and refuses even partial enforcement of a grasping restraint, may also resist lengthening a restraint the parties did not validly supply. An express extension-on-breach clause is itself a longer restraint, so it should independently satisfy the three-part reasonableness test rather than being treated as automatic.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it buys nothing on its own. West Virginia courts deny enforcement at the protectable-interest gate without ever reaching reasonableness, and no recital substitutes for the employer's threshold showing.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Note the statutory overlay for trade-secret claims — West Virginia's act lets the court award reasonable fees to the prevailing party in bad-faith and willful-malicious cases regardless of what the contract says — and check that any contractual fee-shifting runs both ways.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Facially reasonable from the start, no court rescue</w:t>
      </w:r>
      <w:r>
        <w:t xml:space="preserve"> — Avoid (SHOULD NOT)</w:t>
      </w:r>
    </w:p>
    <w:p>
      <w:pPr>
        <w:spacing w:before="0" w:after="120"/>
        <w:ind w:left="540"/>
      </w:pPr>
      <w:r>
        <w:t xml:space="preserve">Read the severability boilerplate against West Virginia's two-step rule. A covenant unreasonable on its face — excessively broad time or area, or an apparent purpose of intimidating employees — is utterly void, and a court should not undertake even partial enforcement of it; tailoring is reserved for the minor overbreadth of a covenant that first passes the facial screen with the employer's interests proven. A savings clause does not move a covenant from the void column to the tailorable one, so the only safe draft is the narrow restraint the employer can defend at signing.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non-piracy clause or confidentiality term outlive a failed non-compete — and in a state where a facially unreasonable covenant gets no judicial repair, that separateness is the difference between losing one covenant and losing them all.</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same burdens — the protectable interest must belong to the entity seeking enforcement, and the restraint must still be no greater than that interest requires — so an assignment clause moves the covenant but never upgrades it.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The agreement should specify governing law, venue, and the dispute-resolution process. Restrictive-covenant outcomes are jurisdiction-sensitive, and the rest of this checklist applies West Virginia's framework — so confirm the clause matches the law the parties actually expect to govern, and treat any mismatch between the named state and the worker's real location as a question for counsel rather than a formality.</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two West Virginia wrinkles. An amendment that re-papers a covenant mid-employment is a covenant contracted after employment began, so it needs new consideration of its own. And for a physician contract, a modification, renewal, or extension on or after July 1, 2017 pulls an older agreement inside the physician statute — a routine refresh can quietly cap the covenant at one year and thirty road miles. </w:t>
      </w:r>
    </w:p>
    <w:p>
      <w:pPr>
        <w:keepNext/>
        <w:spacing w:before="360" w:after="160"/>
      </w:pPr>
      <w:r>
        <w:rPr>
          <w:b/>
          <w:sz w:val="28"/>
          <w:szCs w:val="28"/>
        </w:rPr>
        <w:t xml:space="preserve">19. West Virginia enforceability gates</w:t>
      </w:r>
    </w:p>
    <w:p>
      <w:pPr>
        <w:spacing w:before="0" w:after="120"/>
      </w:pPr>
      <w:r>
        <w:t xml:space="preserve">The five items below exist only on this West Virginia page: they implement the protectable-interest-plus-reasonableness framework, the new-consideration rule for covenants signed after hiring, the physician statute's hard caps, the non-piracy frame for customer restrictions, and the sale-of-business standard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Protectable interest plus the three reasonableness checks</w:t>
      </w:r>
      <w:r>
        <w:t xml:space="preserve"> — Required (MUST)</w:t>
      </w:r>
    </w:p>
    <w:p>
      <w:pPr>
        <w:spacing w:before="0" w:after="120"/>
        <w:ind w:left="540"/>
      </w:pPr>
      <w:r>
        <w:t xml:space="preserve">Run every restraint through the two-stage inquiry. First, the employer must show an interest requiring protection — trade secrets, customer lists, customer goodwill, or unusual employer-funded training, never protection from ordinary competition — and explain how this worker could injure it. Then the restraint must be no greater than required for the employer's protection, impose no undue hardship on the worker, and not injure the public. </w:t>
      </w:r>
      <w:r>
        <w:t xml:space="preserve"> General managerial skills do not open the gate </w:t>
      </w:r>
      <w:r>
        <w:t xml:space="preserve">, and the gate is dispositive on its own: when the employer fails it, the court never reaches reasonableness at all. </w:t>
      </w:r>
    </w:p>
    <w:p>
      <w:pPr>
        <w:keepNext/>
        <w:spacing w:before="200" w:after="80"/>
      </w:pPr>
      <w:r>
        <w:rPr>
          <w:rFonts w:ascii="Segoe UI Symbol" w:hAnsi="Segoe UI Symbol"/>
        </w:rPr>
        <w:t xml:space="preserve">☐  </w:t>
      </w:r>
      <w:r>
        <w:rPr>
          <w:b/>
        </w:rPr>
        <w:t xml:space="preserve">19.2  </w:t>
      </w:r>
      <w:r>
        <w:rPr>
          <w:b/>
        </w:rPr>
        <w:t xml:space="preserve">New consideration for a covenant signed after hiring</w:t>
      </w:r>
      <w:r>
        <w:t xml:space="preserve"> — Required (MUST)</w:t>
      </w:r>
    </w:p>
    <w:p>
      <w:pPr>
        <w:spacing w:before="0" w:after="120"/>
        <w:ind w:left="540"/>
      </w:pPr>
      <w:r>
        <w:t xml:space="preserve">A covenant contracted after employment has commenced without restriction must be supported by new consideration — and keeping the same job is the exact fact pattern that fails, because a contract that alters no benefits, conditions, or terms and only imposes limitations supplies nothing. </w:t>
      </w:r>
      <w:r>
        <w:t xml:space="preserve"> Treat the later covenant as a new contract needing its own new consideration, and look for the raise, bonus, promotion, equity grant, or term extension recited in the agreement and traceable in the record. </w:t>
      </w:r>
    </w:p>
    <w:p>
      <w:pPr>
        <w:keepNext/>
        <w:spacing w:before="200" w:after="80"/>
      </w:pPr>
      <w:r>
        <w:rPr>
          <w:rFonts w:ascii="Segoe UI Symbol" w:hAnsi="Segoe UI Symbol"/>
        </w:rPr>
        <w:t xml:space="preserve">☐  </w:t>
      </w:r>
      <w:r>
        <w:rPr>
          <w:b/>
        </w:rPr>
        <w:t xml:space="preserve">19.3  </w:t>
      </w:r>
      <w:r>
        <w:rPr>
          <w:b/>
        </w:rPr>
        <w:t xml:space="preserve">Physician covenant within the one-year, thirty-mile cap</w:t>
      </w:r>
      <w:r>
        <w:t xml:space="preserve"> — Prohibited (MUST NOT)</w:t>
      </w:r>
    </w:p>
    <w:p>
      <w:pPr>
        <w:spacing w:before="0" w:after="120"/>
        <w:ind w:left="540"/>
      </w:pPr>
      <w:r>
        <w:t xml:space="preserve">A physician employment non-compete must not exceed one year or thirty road miles from the physician's primary place of practice — and it is void and unenforceable outright if the employer terminates the physician's employment. </w:t>
      </w:r>
      <w:r>
        <w:t xml:space="preserve"> Check the dates: the article reaches contracts entered into, modified, renewed, or extended on or after July 1, 2017 </w:t>
      </w:r>
      <w:r>
        <w:t xml:space="preserve">. Check the exemptions too — the caps do not apply, unless the contract says otherwise, where the physician sold the practice to the employer or in contracts among physician owners of a health care practice. </w:t>
      </w:r>
    </w:p>
    <w:p>
      <w:pPr>
        <w:keepNext/>
        <w:spacing w:before="200" w:after="80"/>
      </w:pPr>
      <w:r>
        <w:rPr>
          <w:rFonts w:ascii="Segoe UI Symbol" w:hAnsi="Segoe UI Symbol"/>
        </w:rPr>
        <w:t xml:space="preserve">☐  </w:t>
      </w:r>
      <w:r>
        <w:rPr>
          <w:b/>
        </w:rPr>
        <w:t xml:space="preserve">19.4  </w:t>
      </w:r>
      <w:r>
        <w:rPr>
          <w:b/>
        </w:rPr>
        <w:t xml:space="preserve">Customer limits kept to true non-piracy terms</w:t>
      </w:r>
      <w:r>
        <w:t xml:space="preserve"> — Recommended (SHOULD)</w:t>
      </w:r>
    </w:p>
    <w:p>
      <w:pPr>
        <w:spacing w:before="0" w:after="120"/>
        <w:ind w:left="540"/>
      </w:pPr>
      <w:r>
        <w:t xml:space="preserve">Customer restrictions should keep the non-piracy shape: restricting solicitation of the employer's customers and use of the employer's confidential information, ordinarily with no territorial limits, while leaving general competition open. </w:t>
      </w:r>
      <w:r>
        <w:t xml:space="preserve"> The lighter treatment is earned, not presumed — validity still turns on a protectable interest, a provision that reasonably and fairly protects it, and no unjust restriction on the worker's chosen business activity, with the employer carrying the first two burdens. </w:t>
      </w:r>
    </w:p>
    <w:p>
      <w:pPr>
        <w:keepNext/>
        <w:spacing w:before="200" w:after="80"/>
      </w:pPr>
      <w:r>
        <w:rPr>
          <w:rFonts w:ascii="Segoe UI Symbol" w:hAnsi="Segoe UI Symbol"/>
        </w:rPr>
        <w:t xml:space="preserve">☐  </w:t>
      </w:r>
      <w:r>
        <w:rPr>
          <w:b/>
        </w:rPr>
        <w:t xml:space="preserve">19.5  </w:t>
      </w:r>
      <w:r>
        <w:rPr>
          <w:b/>
        </w:rPr>
        <w:t xml:space="preserve">Sale-of-business covenants papered in the deal</w:t>
      </w:r>
      <w:r>
        <w:t xml:space="preserve"> — Recommended (SHOULD)</w:t>
      </w:r>
    </w:p>
    <w:p>
      <w:pPr>
        <w:spacing w:before="0" w:after="120"/>
        <w:ind w:left="540"/>
      </w:pPr>
      <w:r>
        <w:t xml:space="preserve">When the covenant rides a genuine business sale, paper it in the transaction documents — given by the seller, supported by deal consideration. Sale covenants get the rule of reason applied with lesser scrutiny because the seller is being paid for goodwill, and the sale-specific test asks whether the restraint exceeds the buyer's protection needs, unduly burdens the seller, or injures the public. </w:t>
      </w:r>
      <w:r>
        <w:t xml:space="preserve"> The breathing room is real — a fifteen-year, fifty-mile sale covenant has been upheld here — but it belongs to the deal, not to an employment agreement dressed up as one. </w:t>
      </w:r>
    </w:p>
    <w:p>
      <w:pPr>
        <w:spacing w:before="360" w:after="0"/>
      </w:pPr>
      <w:r>
        <w:rPr>
          <w:color w:val="666666"/>
          <w:sz w:val="16"/>
          <w:szCs w:val="16"/>
        </w:rPr>
        <w:t xml:space="preserve">Steven Obiajulu, J.D. edits this review checklist for West Virginia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