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Texas</w:t>
      </w:r>
    </w:p>
    <w:p>
      <w:pPr>
        <w:spacing w:before="0" w:after="120"/>
      </w:pPr>
      <w:r>
        <w:rPr>
          <w:i/>
          <w:color w:val="444444"/>
        </w:rPr>
        <w:t xml:space="preserve">A clause-by-clause reviewer checklist for Texas employee restrictive covenant agreements — confidentiality, non-solicits, non-competes, and non-disparagement under Tex. Bus. &amp; Com. Code § 15.50's ancillary-agreement test, mandatory reformation, and the physician and health-care-practitioner buyout rules.</w:t>
      </w:r>
    </w:p>
    <w:p>
      <w:pPr>
        <w:spacing w:before="0" w:after="240"/>
      </w:pPr>
      <w:r>
        <w:rPr>
          <w:color w:val="666666"/>
          <w:sz w:val="18"/>
          <w:szCs w:val="18"/>
        </w:rPr>
        <w:t xml:space="preserve">By Steven Obiajulu, J.D. Last reviewed 2026-06-11. License: CC BY 4.0. https://openagreements.org/checklists/non-compete/us/texas</w:t>
      </w:r>
    </w:p>
    <w:p>
      <w:pPr>
        <w:keepNext/>
        <w:spacing w:before="360" w:after="160"/>
      </w:pPr>
      <w:r>
        <w:rPr>
          <w:b/>
          <w:sz w:val="28"/>
          <w:szCs w:val="28"/>
        </w:rPr>
        <w:t xml:space="preserve">1. Parties and cover-term identification</w:t>
      </w:r>
    </w:p>
    <w:p>
      <w:pPr>
        <w:spacing w:before="0" w:after="120"/>
      </w:pPr>
      <w:r>
        <w:t xml:space="preserve">Work through every item the way a Texas court would: one statute — the Covenants Not to Compete Act — supplies the only test, ties every restraint to a protectable business interest, and orders courts to trim overbroad covenants instead of voiding them, at the price of the employer's damages claim. For the question-by-question legal analysis behind these items, see the </w:t>
      </w:r>
      <w:r>
        <w:t xml:space="preserve">Texas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owns the goodwill or confidential information the covenant claims to protect. Texas ties every restraint to the promisee's own business interest, and in a personal-services agreement that same entity carries the burden of proving the covenant fits the statute — a covenant running to a parent or affiliate with no protectable interest of its own starts the analysis in a hole.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Texas the signing date does not finish the timeline. The statute asks whether the covenant was ancillary to an otherwise enforceable agreement at the time the agreement was made, and an at-will covenant resting on an employer promise binds only once the employer performs — so the dates that matter are when the agreement was made and when the promised consideration actually arrived.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title routes the agreement to the right statutory track. A physician is reviewed under the physician-specific conditions of section 15.50(b); a dentist, professional or vocational nurse, or physician assistant triggers the parallel section 15.501 regime; everyone else is judged under the general reasonableness test. Misreading the role means reviewing against the wrong statute.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named — and weigh any clause selecting another state's law with care. Texas treats non-compete enforcement as fundamental policy, and its supreme court has applied Texas law to strike a covenant despite the parties' contrary contractual choice.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Match the definition to what the employer actually provides. Promised and delivered confidential information is the classic consideration supporting a Texas covenant — implied where the job cannot be done without it — so a definition describing categories the worker genuinely receives does double duty as a confidentiality term and as formation evidence.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separate from ordinary confidential information. The Texas trade-secret statute supplies injunctive relief independent of any covenant, but only for genuine secrets — it expressly leaves the worker's general knowledge, skill, and experience untouched — so the definition should describe protectable material rather than everything the worker learned on the job.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statutory yardstick: the time limit must be reasonable and impose no greater restraint than necessary to protect the employer's interest. Texas publishes no numeric ceiling for ordinary workers, so the period has to be justified by the interest it protects — and a one-year statutory ceiling applies where the worker is a covered physician or health-care practitioner.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employee actually worked or where the employer genuinely competes. The Act requires the geographic limit to be reasonable and no broader than the interest it protects, and an everywhere-the-company-operates territory is the classic reformation trigger — with the damages forfeit that follows.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Texas courts run customer non-solicits through the same Act and the same reasonableness test as non-competes, so an entire-book-of-business definition gets judged as a restraint on competition, not as a softer alternative to one.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The Texas authorities collected here do not separately address employee non-solicits, so the safest reading is that an overbuilt clause invites the same reasonableness scrutiny as the rest of the covenant suite; a modest, relationship-based class avoids testing the question.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statute's own vocabulary: goodwill or another business interest of the promisee is what the Act protects, and the Texas Supreme Court has accepted consideration as adequate precisely because it was reasonably related to goodwill. A recital mapping the claimed interests to the consideration given makes both halves of the statutory test easier to carry.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 the products, services, or line of business the worker actually touched. Scope of activity is one of the three statutory axes, and a definition reaching anything the employer might someday do imposes a greater restraint than necessary on its face.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covenant restricts owning or investing in competitors, look for a passive-holdings carve-out below a stated percentage. A clause that technically forbids index funds and ordinary public shares restrains far more than any goodwill interest requires — gratuitous overbreadth in a state whose courts must trim whatever they find unreasonable, at the employer's cost.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legal requirement — many agreements inline the carve-out language instead of defining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term covers only initiated contact or also responding to inquiries that arrive unprompted. The wider reading expands the scope of activity restrained, and in Texas every expansion has to answer to the no-greater-restraint-than-necessary standard.</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consistently. Texas clocks run from this event — including the physician buyout, which is priced at the worker's total annual salary and wages at the time of termination — so an ambiguous trigger leaves both the restricted period and the buyout number contestable.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Texas formation is a performance story, so the acknowledgement should record more than a date: what consideration was promised, when it was delivered, and that the covenant accompanied an otherwise enforceable agreement when made. An at-will covenant is illusory until the employer performs, and an implied promise of confidential information fills the gap only where the job requires it — contemporaneous recitals beat reconstructing that timeline in litigation.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Texas statute demands it for ordinary workers, but it is cheap procedural-fairness evidence — and for physician and practitioner covenants, whose terms must be clearly and conspicuously stated, a counsel acknowledgement reinforces that the statutory conditions were genuinely surfaced rather than buried.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that is how federal law defines the right, and Texas trade-secret remedies assume it. A fixed expiry on trade-secret protection hands back the strongest covenant-independent protection the employer has in this state.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Beyond the usual reasonableness concern, Texas adds a recharacterization risk: a confidentiality clause broad enough to keep the worker from functioning in the field can be treated as a non-compete and tested under the Act, reformation and all. A two-track structure — perpetual for secrets, finite for the rest — stays clear of that line.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Texas: omit the immunity notice and the employer forfeits exemplary damages and attorney fees in a later trade-secret suit against the worker. Texas employers lean on trade-secret claims to backstop covenants — and as the only dependable fee path — so the notice protects remedies that matter here.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wages, hours, and working conditions discussable. Federal labor law protects that speech no matter which state's law governs the agreement, and the Board has been striking overbroad terms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outrun a subpoena, and the carve-out keeps the worker from being contractually penalized for complying.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where the trade-secret statute is the employer's strongest covenant-independent tool, the certification is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least regulated covenant in the Texas suite — the authorities here say nothing specific about restraints on recruiting former colleagues. Keep it inside the Covered Employees class and the Restricted Period, and do not let it grow into a hiring ban that tests how far the Act's reasonableness scrutiny extends.</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 but not a loophole. Texas courts analyze customer non-solicits under the Covenants Not to Compete Act and the same reasonableness test, so the clause needs the same ancillary footing and the same tailoring to actual customer relationships as a full non-compete.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unsolicited — a wider restraint on the same relationships a non-solicit covers. Treat the extra width as something the employer must justify under the no-greater-restraint standard, not as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Optional, and in Texas reviewable on two axes at once: the covenant must ride an otherwise enforceable agreement with qualifying consideration, and its time, geography, and scope must each be no broader than the protected interest. In a personal-services agreement the employer bears the burden of proving both. Route the clause through the Texas statutory gates at the end of this checklist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 named list is strong evidence the restraint is no greater than necessary — the exact phrase the statute tests against — and it shrinks the surface a court would otherwise have to reform.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ban with no carve-out restrains conduct far from any goodwill interest and widens the reformation target.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regardless of the governing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earns its place in Texas: a physician covenant carries statutory conditions including patient-list access, medical-record access, continuity-of-care protection, and a buyout capped at the physician's total annual salary and wages, and since September 1, 2025 dentists, nurses, and physician assistants have their own buyout-and-limits regime under section 15.501. The clause should either implement those conditions or state plainly that the agreement is not to be used for covered practitioners — the detailed gates sit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Texas enforces reasonable covenants, so incoming hires genuinely may carry live restraints; surfacing them at signing protects the employer from tortious-interference exposure and tells the reviewer which side of an enforcement fight the company may end up on.</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letter can support enforcement, but it is also where over-enforcement starts: the Act reserves its only express fee award for the worker whose employer knowingly pressed an overbroad covenant beyond what was necessary. If the clause appears, keep any disclosure factual and tied to the covenant as written.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Texas tolling clause as unsettled rather than standard. No statute or controlling decision blesses adding time back, and an extension still has to survive the requirement that the time limit be reasonable and no greater than necessary. The dependable protection against ongoing violations is an injunction, which the Act expressly authorizes.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irreparable-harm acknowledgement and the consent to injunctive relief — then note the Texas stakes: if the covenant turns out overbroad, injunctive relief after reformation is all the employer gets, because damages for pre-reformation breaches are statutorily off the table.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Read any fee clause against a statute that points the other way: the Act's only express fee award runs to the worker who proves knowing over-enforcement, and whether the general contract-fee statute can supply enforcement fees despite the Act's exclusivity is unresolved. The dependable employer fee path is a trade-secret claim under the Texas UTSA. Check that any fee-shifting is mutual and does not promise what the statute may not deliver.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Drafted to final scope, not for court repair</w:t>
      </w:r>
      <w:r>
        <w:t xml:space="preserve"> — Avoid (SHOULD NOT)</w:t>
      </w:r>
    </w:p>
    <w:p>
      <w:pPr>
        <w:spacing w:before="0" w:after="120"/>
        <w:ind w:left="540"/>
      </w:pPr>
      <w:r>
        <w:t xml:space="preserve">Read the severability clause knowing the statute already does its work: a Texas court must reform an overbroad-but-ancillary covenant down to the minimum reasonable restraint and enforce it as reformed, whatever the contract says. The catch is the price — no damages for any breach before reformation, injunction only, and a since-withdrawn federal opinion would have courts take up reformation as early as the preliminary-injunction stage. An agreement drafted broad on the theory that the court will fix it trades away the damages claim and flirts with the fee award for knowing over-enforcement. Each covenant should arrive at its final intended scope.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everything else, and never past the one-year statutory ceiling for covered physicians and health-care practitioners. A bundled survival clause is where an unexamined duration hides, and in Texas an unexamined duration is a reformation trigger.</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enforces a Texas covenant inherits the statutory posture with it: the assignee must still tie the restraint to a protectable interest of its own and, in a personal-services agreement, carry the burden of proving the covenant fits the Act.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Choice of law and forum that hold up</w:t>
      </w:r>
      <w:r>
        <w:t xml:space="preserve"> — Avoid (SHOULD NOT)</w:t>
      </w:r>
    </w:p>
    <w:p>
      <w:pPr>
        <w:spacing w:before="0" w:after="120"/>
        <w:ind w:left="540"/>
      </w:pPr>
      <w:r>
        <w:t xml:space="preserve">The clause should name a governing law, a venue, and a dispute process — but do not let a foreign choice-of-law selection carry the enforceability analysis for a Texas worker. Texas treats covenant enforcement as fundamental policy and has applied its own law over the parties' contrary choice, and the same conflicts machinery can hand the question to another state whose policy is stronger. Forum selection is the half that holds: Texas courts enforce a mandatory forum-selection clause, by mandamus if necessary. Review the pair as a unit — a realistic forum plus Texas law is the combination that operates as written.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Texas wrinkle: the covenant must be ancillary to an otherwise enforceable agreement at the time that agreement is made, so an amendment that re-papers the covenants should restate the consideration story rather than incorporate it by silence. Confirm the merger clause does not accidentally extinguish the very promises — confidential information, training, equity — that make the covenant enforceable.</w:t>
      </w:r>
    </w:p>
    <w:p>
      <w:pPr>
        <w:keepNext/>
        <w:spacing w:before="360" w:after="160"/>
      </w:pPr>
      <w:r>
        <w:rPr>
          <w:b/>
          <w:sz w:val="28"/>
          <w:szCs w:val="28"/>
        </w:rPr>
        <w:t xml:space="preserve">19. Texas statutory gates (Tex. Bus. &amp; Com. Code ch. 15)</w:t>
      </w:r>
    </w:p>
    <w:p>
      <w:pPr>
        <w:spacing w:before="0" w:after="120"/>
      </w:pPr>
      <w:r>
        <w:t xml:space="preserve">The six items below exist only on this Texas page: they implement the Covenants Not to Compete Act's formation gates, the physician and health-care-practitioner buyout regimes, and the boundary between confidentiality drafting and a covert non-compete.</w:t>
      </w:r>
    </w:p>
    <w:p>
      <w:pPr>
        <w:keepNext/>
        <w:spacing w:before="200" w:after="80"/>
      </w:pPr>
      <w:r>
        <w:rPr>
          <w:rFonts w:ascii="Segoe UI Symbol" w:hAnsi="Segoe UI Symbol"/>
        </w:rPr>
        <w:t xml:space="preserve">☐  </w:t>
      </w:r>
      <w:r>
        <w:rPr>
          <w:b/>
        </w:rPr>
        <w:t xml:space="preserve">19.1  </w:t>
      </w:r>
      <w:r>
        <w:rPr>
          <w:b/>
        </w:rPr>
        <w:t xml:space="preserve">Ancillary to an enforceable agreement</w:t>
      </w:r>
      <w:r>
        <w:t xml:space="preserve"> — Required (MUST)</w:t>
      </w:r>
    </w:p>
    <w:p>
      <w:pPr>
        <w:spacing w:before="0" w:after="120"/>
        <w:ind w:left="540"/>
      </w:pPr>
      <w:r>
        <w:t xml:space="preserve">Before reviewing any term, confirm the covenant rides an otherwise enforceable agreement and that the supporting consideration is reasonably related to a protectable interest — promised confidential information that is actually provided, or equity tied to goodwill. The two halves are independent: tight limits cannot save a covenant with no qualifying agreement under it, and a solid agreement cannot save limits broader than the interest. The early case law shows covenants failing this gate outright even where an employment agreement existed. </w:t>
      </w:r>
    </w:p>
    <w:p>
      <w:pPr>
        <w:keepNext/>
        <w:spacing w:before="200" w:after="80"/>
      </w:pPr>
      <w:r>
        <w:rPr>
          <w:rFonts w:ascii="Segoe UI Symbol" w:hAnsi="Segoe UI Symbol"/>
        </w:rPr>
        <w:t xml:space="preserve">☐  </w:t>
      </w:r>
      <w:r>
        <w:rPr>
          <w:b/>
        </w:rPr>
        <w:t xml:space="preserve">19.2  </w:t>
      </w:r>
      <w:r>
        <w:rPr>
          <w:b/>
        </w:rPr>
        <w:t xml:space="preserve">Promised consideration actually delivered</w:t>
      </w:r>
      <w:r>
        <w:t xml:space="preserve"> — Required (MUST)</w:t>
      </w:r>
    </w:p>
    <w:p>
      <w:pPr>
        <w:spacing w:before="0" w:after="120"/>
        <w:ind w:left="540"/>
      </w:pPr>
      <w:r>
        <w:t xml:space="preserve">For an at-will worker, ask what the employer actually delivered. A covenant resting on a revocable promise is illusory when signed and binds only once the employer performs — hands over the confidential information, the training, the equity. Where the job cannot be done without confidential information, the promise to provide it is implied, but the reviewer should still look for evidence of delivery, because enforceability dates from performance rather than from signatures. </w:t>
      </w:r>
    </w:p>
    <w:p>
      <w:pPr>
        <w:keepNext/>
        <w:spacing w:before="200" w:after="80"/>
      </w:pPr>
      <w:r>
        <w:rPr>
          <w:rFonts w:ascii="Segoe UI Symbol" w:hAnsi="Segoe UI Symbol"/>
        </w:rPr>
        <w:t xml:space="preserve">☐  </w:t>
      </w:r>
      <w:r>
        <w:rPr>
          <w:b/>
        </w:rPr>
        <w:t xml:space="preserve">19.3  </w:t>
      </w:r>
      <w:r>
        <w:rPr>
          <w:b/>
        </w:rPr>
        <w:t xml:space="preserve">Physician buyout and statutory limits</w:t>
      </w:r>
      <w:r>
        <w:t xml:space="preserve"> — Required (MUST)</w:t>
      </w:r>
    </w:p>
    <w:p>
      <w:pPr>
        <w:spacing w:before="0" w:after="120"/>
        <w:ind w:left="540"/>
      </w:pPr>
      <w:r>
        <w:t xml:space="preserve">A covenant touching the practice of medicine must satisfy the section 15.50(b) conditions: a buyout option priced no higher than the physician's total annual salary and wages at termination, expiry within one year, a territory of at most a five-mile radius around the primary practice location, and terms stated clearly and conspicuously in writing — ceilings, not safe harbors. A general-purpose form rarely carries the physician-specific conditions, so reusing one for a physician fails the package even when its limits look modest. </w:t>
      </w:r>
      <w:r>
        <w:t xml:space="preserve"> Check the carve-outs before applying the regime: a physician's ownership interest in a licensed hospital or ambulatory surgical center sits outside it, as does managing or directing medical services in a purely administrative capacity. </w:t>
      </w:r>
    </w:p>
    <w:p>
      <w:pPr>
        <w:keepNext/>
        <w:spacing w:before="200" w:after="80"/>
      </w:pPr>
      <w:r>
        <w:rPr>
          <w:rFonts w:ascii="Segoe UI Symbol" w:hAnsi="Segoe UI Symbol"/>
        </w:rPr>
        <w:t xml:space="preserve">☐  </w:t>
      </w:r>
      <w:r>
        <w:rPr>
          <w:b/>
        </w:rPr>
        <w:t xml:space="preserve">19.4  </w:t>
      </w:r>
      <w:r>
        <w:rPr>
          <w:b/>
        </w:rPr>
        <w:t xml:space="preserve">Void if the physician is fired without good cause</w:t>
      </w:r>
      <w:r>
        <w:t xml:space="preserve"> — Prohibited (MUST NOT)</w:t>
      </w:r>
    </w:p>
    <w:p>
      <w:pPr>
        <w:spacing w:before="0" w:after="120"/>
        <w:ind w:left="540"/>
      </w:pPr>
      <w:r>
        <w:t xml:space="preserve">For agreements on or after September 1, 2025, the covenant must not be written or enforced as if it survives every termination: a physician involuntarily discharged without good cause walks free of it by statute, and good cause means a reasonable basis tied to the physician's conduct, job performance, or employment record. Flag any physician covenant that purports to apply regardless of the reason for separation — the no-fault termination is exactly the case it gets wrong. </w:t>
      </w:r>
    </w:p>
    <w:p>
      <w:pPr>
        <w:keepNext/>
        <w:spacing w:before="200" w:after="80"/>
      </w:pPr>
      <w:r>
        <w:rPr>
          <w:rFonts w:ascii="Segoe UI Symbol" w:hAnsi="Segoe UI Symbol"/>
        </w:rPr>
        <w:t xml:space="preserve">☐  </w:t>
      </w:r>
      <w:r>
        <w:rPr>
          <w:b/>
        </w:rPr>
        <w:t xml:space="preserve">19.5  </w:t>
      </w:r>
      <w:r>
        <w:rPr>
          <w:b/>
        </w:rPr>
        <w:t xml:space="preserve">Dentist, nurse, and physician-assistant caps</w:t>
      </w:r>
      <w:r>
        <w:t xml:space="preserve"> — Required (MUST)</w:t>
      </w:r>
    </w:p>
    <w:p>
      <w:pPr>
        <w:spacing w:before="0" w:after="120"/>
        <w:ind w:left="540"/>
      </w:pPr>
      <w:r>
        <w:t xml:space="preserve">Since September 1, 2025, dentists, professional and vocational nurses, and physician assistants have their own statutory floor: the covenant is unenforceable unless it provides a salary-capped buyout, expires within one year, stays within a five-mile radius of where the practitioner primarily practiced, and states its terms clearly and conspicuously. The structure mirrors the physician rules, so a compliant physician form is the natural starting point — but the section is new, and terms like the primary practice location have little appellate gloss yet. </w:t>
      </w:r>
    </w:p>
    <w:p>
      <w:pPr>
        <w:keepNext/>
        <w:spacing w:before="200" w:after="80"/>
      </w:pPr>
      <w:r>
        <w:rPr>
          <w:rFonts w:ascii="Segoe UI Symbol" w:hAnsi="Segoe UI Symbol"/>
        </w:rPr>
        <w:t xml:space="preserve">☐  </w:t>
      </w:r>
      <w:r>
        <w:rPr>
          <w:b/>
        </w:rPr>
        <w:t xml:space="preserve">19.6  </w:t>
      </w:r>
      <w:r>
        <w:rPr>
          <w:b/>
        </w:rPr>
        <w:t xml:space="preserve">Confidentiality is not a covert non-compete</w:t>
      </w:r>
      <w:r>
        <w:t xml:space="preserve"> — Avoid (SHOULD NOT)</w:t>
      </w:r>
    </w:p>
    <w:p>
      <w:pPr>
        <w:spacing w:before="0" w:after="120"/>
        <w:ind w:left="540"/>
      </w:pPr>
      <w:r>
        <w:t xml:space="preserve">Test the confidentiality clause for covert-non-compete behavior: if honoring it would keep the worker from functioning in the field at all, a court can recharacterize it and run it through the Act's ancillary-and-reasonableness test. The trade-secret statute draws the same line from the other side — an injunction cannot reach the general knowledge, skill, and experience the worker acquired on the job — so sweeping that ordinary expertise into the definition buys exposure, not protection. </w:t>
      </w:r>
    </w:p>
    <w:p>
      <w:pPr>
        <w:spacing w:before="360" w:after="0"/>
      </w:pPr>
      <w:r>
        <w:rPr>
          <w:color w:val="666666"/>
          <w:sz w:val="16"/>
          <w:szCs w:val="16"/>
        </w:rPr>
        <w:t xml:space="preserve">Steven Obiajulu, J.D. edits this review checklist for Texas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