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Rhode Island</w:t>
      </w:r>
    </w:p>
    <w:p>
      <w:pPr>
        <w:spacing w:before="0" w:after="120"/>
      </w:pPr>
      <w:r>
        <w:rPr>
          <w:i/>
          <w:color w:val="444444"/>
        </w:rPr>
        <w:t xml:space="preserve">A clause-by-clause reviewer checklist for Rhode Island employee restrictive covenant agreements — confidentiality, non-solicits, non-competes, and non-disparagement under the ch. 28-59 worker-category bans, the physician and APRN practice-restriction statutes, and strict common-law reasonableness.</w:t>
      </w:r>
    </w:p>
    <w:p>
      <w:pPr>
        <w:spacing w:before="0" w:after="240"/>
      </w:pPr>
      <w:r>
        <w:rPr>
          <w:color w:val="666666"/>
          <w:sz w:val="18"/>
          <w:szCs w:val="18"/>
        </w:rPr>
        <w:t xml:space="preserve">By Steven Obiajulu, J.D. Last reviewed 2026-06-11. License: CC BY 4.0. https://openagreements.org/checklists/non-compete/us/rhode-island</w:t>
      </w:r>
    </w:p>
    <w:p>
      <w:pPr>
        <w:keepNext/>
        <w:spacing w:before="360" w:after="160"/>
      </w:pPr>
      <w:r>
        <w:rPr>
          <w:b/>
          <w:sz w:val="28"/>
          <w:szCs w:val="28"/>
        </w:rPr>
        <w:t xml:space="preserve">1. Parties and cover-term identification</w:t>
      </w:r>
    </w:p>
    <w:p>
      <w:pPr>
        <w:spacing w:before="0" w:after="120"/>
      </w:pPr>
      <w:r>
        <w:t xml:space="preserve">Review every item below the way a Rhode Island court would: the Noncompetition Agreement Act makes non-competes unenforceable outright for four protected worker categories, separate statutes void practice restrictions for physicians and APRNs, and every restraint left standing answers to a disfavored-restraint reasonableness test. For the question-by-question legal analysis behind these items, see the </w:t>
      </w:r>
      <w:r>
        <w:t xml:space="preserve">Rhode Island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the worker actually works for, and how the worker is engaged. Chapter 28-59 protects employees and expressly excludes independent contractors from that definition, so the relationship the signature page reflects feeds directly into whether the worker-category bans can apply at all.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Date the agreement. The APRN practice ban took effect June 17, 2024, and the low-wage category is indexed to federal poverty guidelines that change over time — so the execution date fixes which statutes and which figures frame the review. An undated covenant leaves both questions open.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then look past it. What decides enforceability in Rhode Island is the worker-category screen — FLSA exemption status, student-intern status, age, and earnings — and a title proves none of those facts on its own. Treat the stated position as the starting point for the category check, not the answer to it.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The practice note records no Rhode Island anti-evasion statute for restrictive covenants, so do not assume a clause naming another state either escapes the worker-category and profession bans or leaves them untouched — flag any out-of-state selection covering a Rhode Island worker as an open question for counsel rather than a settled answer.</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Rhode Island excludes nondisclosure and confidentiality agreements from the statutory non-compete definition, so the definition of confidential information decides which regime the clause lives under. Keep it tight: a definition broad enough to keep the worker out of the field altogether reads as an activity restraint and gives up the benefit of the exclusion.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Rhode Island reserves trade-secret status for information that actually meets it, and the strongest fallback protections in this state — the preserved post-employment trade-secret agreement and the RIUTSA injunction — both hang on that definition. A bloated trade-secret definition weakens the one interest that survives every Rhode Island ban.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Rhode Island most recently upheld a 24-month customer-focused restraint at the preliminary-injunction stage, but duration is still measured against the legitimate interest it protects — so the period needs a defensible rationale of its own, not just a favorable precedent.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geography to where the protected interest actually operates. Rhode Island will tolerate even a restraint with no stated limits in the right setting — but only to the extent necessary to protect the promisee's legitimate interests, which means an everywhere territory invites the court to cut the covenant down to what the employer can prove.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whose relationships the worker actually serviced. The restraint Rhode Island's high court most recently enforced extended only to current and previous clients rather than to a territory — a defined customer class with a sensible look-back is the shape that survived review.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Employee non-solicits sit outside the statutory non-compete definition, which routes them to the common-law reasonableness test — and a workforce-wide class is exactly the breadth that test punishes.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with specificity. The enforcing party must show a legitimate interest as one of the enforcement elements, and protection from ordinary competition does not qualify — the recital is where the agreement shows the confidential relationships, goodwill, or trade secrets each covenant is built to protect.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These covenants are disfavored and strictly scrutinized in Rhode Island, and the competition definition is usually where overbreadth enters — an anything-we-might-someday-do definition undercuts the no-broader-than-necessary showing the employer has to make.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conduct no legitimate interest requires — gratuitous overbreadth in a state that enforces restraints only as far as apparently necessary.</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An optional defined term — many forms inline the percentage instead. When the capitalized term does appear, check that its threshold matches the carve-out that uses it and that the definition stays genuinely passive: no board seats, no advisory roles, no operational involvement.</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and watch the patient-facing version: for a physician, a restraint framed as patient solicitation is still a restriction of the right to practice medicine, and the profession statute voids it. For everyone else, a definition that also captures passively received inquiries widens the restraint the common-law test must then justify.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and dismissal the same way — or says expressly when it does not. Rhode Island's high court declined to read an involuntary-termination limit into a covenant that did not contain one, so whatever the parties want on this point has to appear in the text.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Timing and consideration recital</w:t>
      </w:r>
      <w:r>
        <w:t xml:space="preserve"> — Recommended (SHOULD)</w:t>
      </w:r>
    </w:p>
    <w:p>
      <w:pPr>
        <w:spacing w:before="0" w:after="120"/>
        <w:ind w:left="540"/>
      </w:pPr>
      <w:r>
        <w:t xml:space="preserve">Recite when the covenant was signed and what the worker received for it. Rhode Island treated continued at-will employment plus training and licensure support as part of a lawful exchange for a restriction signed during employment — but that holding arrived in a preliminary-injunction posture under deferential review, and consideration remains an element the employer must prove. The contemporaneous record of what actually moved is what the employer will litigate with.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Cheap insurance, though no Rhode Island statute demands it. Two of the act's protected categories — student interns and workers age eighteen or younger — are the populations least likely to have had advice before signing, so an acknowledgement that the chance was real helps show the execution was informed rather than rote.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that is how the federal definition works, and Rhode Island leans the same way: the act expressly preserves agreements not to share trade-secret information after employment ends, with no outer time limit. A fixed expiry surrenders protection the statute goes out of its way to keep.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statutory exclusion covers nondisclosure and confidentiality agreements, not unlimited lids on everything a worker ever learned — and an NDA written that broadly starts functioning as the hidden non-compete the rest of this checklist polices. The two-track structure keeps the perpetual obligation where the law actually supports it.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Rhode Island: omit the immunity notice and the employer forfeits exemplary damages and attorney fees in a later trade-secret suit against the worker. Because trade-secret protection is the main fallback when a Rhode Island ban takes the non-compete away, those remedies are worth keeping intact.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Check that wages, hours, and working conditions stay discussable notwithstanding the confidentiality and non-disparagement clauses. Section 7 protects that speech in Rhode Island as everywhere else, and the Board treats terms that broadly waive those rights as unlawful even at the offer stage.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Rhode Island's strict-scrutiny posture makes a confidentiality clause with no compelled-disclosure exception an easy mark for overbreadth, and the carve-out costs the employer nothing it could lawfully keep.</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For a worker inside one of Rhode Island's bans, the trade-secret and confidentiality terms carry the entire protective load — and the certification is the cleanest contemporaneous evidence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statutorily the quietest covenant in the family: the act's definition of a noncompetition agreement excludes employee non-solicits, so the clause answers to common law alone. Keep it inside the Covered Employees class and the Restricted Period so the reasonableness showing stays easy to make.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Also outside the statutory definition, with one profession-shaped exception: a clause keeping a physician away from current patients is a restriction on the right to practice that the profession statute voids, whatever heading it sits under. For other workers, the customer-scoped restraint is the one Rhode Island courts most recently enforced — keep it tied to served customers and a stated period.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arrive unsolicited — a restraint on doing the work, not on chasing it. That pushes the clause toward the act's definition of an agreement not to engage in specified competitive activities, and toward the strict end of the common-law test; treat its inclusion as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Before reading any term of this clause, run the worker through the Rhode Island statutory gates at the end of this checklist: the act makes the covenant unenforceable outright for four protected categories, and the profession statutes void it for physicians and APRNs. For everyone left, it remains a disfavored restraint the employer must justify element by element.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A named list is strong evidence the restraint extends no further than apparently necessary — the exact measure Rhode Island enforces these provisions against.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remember that an investment restraint still has to identify a legitimate interest under the common-law test, which protection from the worker's capital alone will not supply.</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Reasonable to include with a stated term. Audit the carve-outs: truthful testimony, reports to government agencies, and protected workplace speech have to stay outside the clause, because the Board treats agreements that broadly waive Section 7 rights as unlawful from the moment they are offered.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the Rhode Island rules plainly: any restriction of a physician's right to practice medicine is void, the 2024 statute does the same for an APRN, and the one exception both share is a sale-of-practice covenant lasting no more than five years. Each statute severs only the restriction — the rest of the contract survives — so the clause should describe what remains operative for a provider, not pretend the restraint exists.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On intake it doubles as a category screen: an incoming covenant binding a worker who is FLSA-nonexempt, a student intern, age eighteen or younger, or low-wage may be unenforceable here regardless of its terms — better to surface that question before the first customer call than after it. </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condition any notice letter on a covenant that actually survives the Rhode Island screens — warning a new employer off the worker based on a restriction the act or a profession statute voids accomplishes nothing legally and reads as pressure rather than protection.</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restricted period pauses during a breach — and any extension mechanism should be flagged as an open Rhode Island question. The practice note records no statute or decision addressing extension during a breach, so a tolling clause here rests on the general reasonableness test alone, with no authority blessing it and the strict-scrutiny posture weighing against surprise add-ons to the stated term.</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discount it properly. Rhode Island's most recent enforcement was a preliminary injunction reviewed only for abuse of discretion, and the employer still had to carry the enforcement elements; a recital starts that showing, it does not finish it.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practice note records no Rhode Island fee-shifting rule specific to restrictive covenants. Check that any fee clause is mutual and prevailing-party based: a one-way employer fee right layered onto a disfavored restraint hands a reviewing court one more marker of overreach.</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narrowing preserved, not presumed</w:t>
      </w:r>
      <w:r>
        <w:t xml:space="preserve"> — Recommended (SHOULD)</w:t>
      </w:r>
    </w:p>
    <w:p>
      <w:pPr>
        <w:spacing w:before="0" w:after="120"/>
        <w:ind w:left="540"/>
      </w:pPr>
      <w:r>
        <w:t xml:space="preserve">Permit judicial modification — Rhode Island grants it generously — but never draft as if it were guaranteed. Unreasonable restraints can be modified and enforced whether or not their terms are divisible, unless the circumstances indicate bad faith or deliberate overreaching, and even then relief goes no further than reasonably necessary to protect legitimate interests. Deliberate overbreadth is the one posture that forfeits the rescue. The act adds a separate severability layer for contracts containing a banned non-compete: the remainder survives and a court may still impose a restriction as a remedy for breach of a different agreement or duty — which preserves the contract, not the covenant.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Rhode Island the structure also mirrors the law: the statutes treat a banned restriction, the surviving contract, and the preserved trade-secret agreement as separable pieces, and a survival clause should not fuse what the law splits.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ends up enforcing inherits the same Rhode Island burden — a valid underlying relationship, consideration, a legitimate interest, and a tailored restraint — so an assignment clause moves the covenant without ever upgrading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State governing law, venue, and dispute process plainly. The practice note records no Rhode Island anti-evasion statute and no controlling choice-of-law decision for restrictive covenants, so treat a foreign-law clause covering a Rhode Island worker as unsettled risk in both directions: it is neither a reliable escape from the worker-category and profession bans nor a guaranteed dead letter.</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worth one Rhode Island-specific look: covenants here are sometimes re-papered mid-employment — the leading consideration case involved exactly that posture — so the amendment mechanics should say which covenant version controls. A refresh that leaves two restraints of different scope both arguably alive is a gift to the other side's lawyer. </w:t>
      </w:r>
    </w:p>
    <w:p>
      <w:pPr>
        <w:keepNext/>
        <w:spacing w:before="360" w:after="160"/>
      </w:pPr>
      <w:r>
        <w:rPr>
          <w:b/>
          <w:sz w:val="28"/>
          <w:szCs w:val="28"/>
        </w:rPr>
        <w:t xml:space="preserve">19. Rhode Island statutory gates (ch. 28-59 and the profession statutes)</w:t>
      </w:r>
    </w:p>
    <w:p>
      <w:pPr>
        <w:spacing w:before="0" w:after="120"/>
      </w:pPr>
      <w:r>
        <w:t xml:space="preserve">The five items below exist only on this Rhode Island page: they implement the worker-category bans of the Noncompetition Agreement Act, the physician and APRN practice-restriction statutes, the definitional exclusions that route most covenants to common law, the common-law enforcement showing, and the trade-secret fallback the act preserves.</w:t>
      </w:r>
    </w:p>
    <w:p>
      <w:pPr>
        <w:keepNext/>
        <w:spacing w:before="200" w:after="80"/>
      </w:pPr>
      <w:r>
        <w:rPr>
          <w:rFonts w:ascii="Segoe UI Symbol" w:hAnsi="Segoe UI Symbol"/>
        </w:rPr>
        <w:t xml:space="preserve">☐  </w:t>
      </w:r>
      <w:r>
        <w:rPr>
          <w:b/>
        </w:rPr>
        <w:t xml:space="preserve">19.1  </w:t>
      </w:r>
      <w:r>
        <w:rPr>
          <w:b/>
        </w:rPr>
        <w:t xml:space="preserve">No non-competes for protected worker categories</w:t>
      </w:r>
      <w:r>
        <w:t xml:space="preserve"> — Prohibited (MUST NOT)</w:t>
      </w:r>
    </w:p>
    <w:p>
      <w:pPr>
        <w:spacing w:before="0" w:after="120"/>
        <w:ind w:left="540"/>
      </w:pPr>
      <w:r>
        <w:t xml:space="preserve">Establish the category facts before anything else: a noncompetition agreement is unenforceable against an employee who is FLSA-nonexempt, an undergraduate or graduate student intern, age eighteen or younger, or low-wage — defined as average annual earnings not more than two hundred fifty percent of the federal poverty level for individuals. The definitions do quiet work here. The act protects employees, not independent contractors, and the poverty multiple moves with the federal guidelines, so the earnings test is a review-time fact rather than a drafting-time one. </w:t>
      </w:r>
    </w:p>
    <w:p>
      <w:pPr>
        <w:keepNext/>
        <w:spacing w:before="200" w:after="80"/>
      </w:pPr>
      <w:r>
        <w:rPr>
          <w:rFonts w:ascii="Segoe UI Symbol" w:hAnsi="Segoe UI Symbol"/>
        </w:rPr>
        <w:t xml:space="preserve">☐  </w:t>
      </w:r>
      <w:r>
        <w:rPr>
          <w:b/>
        </w:rPr>
        <w:t xml:space="preserve">19.2  </w:t>
      </w:r>
      <w:r>
        <w:rPr>
          <w:b/>
        </w:rPr>
        <w:t xml:space="preserve">No practice restrictions for physicians or APRNs</w:t>
      </w:r>
      <w:r>
        <w:t xml:space="preserve"> — Prohibited (MUST NOT)</w:t>
      </w:r>
    </w:p>
    <w:p>
      <w:pPr>
        <w:spacing w:before="0" w:after="120"/>
        <w:ind w:left="540"/>
      </w:pPr>
      <w:r>
        <w:t xml:space="preserve">For a physician, any restriction of the right to practice medicine is void; for an APRN, the statute effective June 17, 2024 does the same in parallel language. The bans reach more than the clause labeled non-compete — geographic practice limits and limits on treating, consulting with, or soliciting current patients are all practice restrictions — and each statute severs the restriction while preserving the rest of the contract. The one exception both share: a sale-of-practice covenant lasting no more than five years. </w:t>
      </w:r>
    </w:p>
    <w:p>
      <w:pPr>
        <w:keepNext/>
        <w:spacing w:before="200" w:after="80"/>
      </w:pPr>
      <w:r>
        <w:rPr>
          <w:rFonts w:ascii="Segoe UI Symbol" w:hAnsi="Segoe UI Symbol"/>
        </w:rPr>
        <w:t xml:space="preserve">☐  </w:t>
      </w:r>
      <w:r>
        <w:rPr>
          <w:b/>
        </w:rPr>
        <w:t xml:space="preserve">19.3  </w:t>
      </w:r>
      <w:r>
        <w:rPr>
          <w:b/>
        </w:rPr>
        <w:t xml:space="preserve">Each restraint drafted as what it is</w:t>
      </w:r>
      <w:r>
        <w:t xml:space="preserve"> — Recommended (SHOULD)</w:t>
      </w:r>
    </w:p>
    <w:p>
      <w:pPr>
        <w:spacing w:before="0" w:after="120"/>
        <w:ind w:left="540"/>
      </w:pPr>
      <w:r>
        <w:t xml:space="preserve">Check that every restraint is drafted as the covenant it actually is. The act's definition of a noncompetition agreement excludes employee non-solicits, customer non-solicits, nondisclosure and confidentiality agreements, and sale-of-business covenants — those fall to common law, trade-secret law, or a profession statute instead. Exclusion is not approval; it just changes the test. A restraint mislabeled as a non-compete, or an activity ban buried inside an NDA, invites a court to analyze the clause under the least favorable regime. </w:t>
      </w:r>
    </w:p>
    <w:p>
      <w:pPr>
        <w:keepNext/>
        <w:spacing w:before="200" w:after="80"/>
      </w:pPr>
      <w:r>
        <w:rPr>
          <w:rFonts w:ascii="Segoe UI Symbol" w:hAnsi="Segoe UI Symbol"/>
        </w:rPr>
        <w:t xml:space="preserve">☐  </w:t>
      </w:r>
      <w:r>
        <w:rPr>
          <w:b/>
        </w:rPr>
        <w:t xml:space="preserve">19.4  </w:t>
      </w:r>
      <w:r>
        <w:rPr>
          <w:b/>
        </w:rPr>
        <w:t xml:space="preserve">The common-law enforcement showing</w:t>
      </w:r>
      <w:r>
        <w:t xml:space="preserve"> — Required (MUST)</w:t>
      </w:r>
    </w:p>
    <w:p>
      <w:pPr>
        <w:spacing w:before="0" w:after="120"/>
        <w:ind w:left="540"/>
      </w:pPr>
      <w:r>
        <w:t xml:space="preserve">Every covenant the statutes leave alive must be able to carry the enforcement showing: ancillary to a valid transaction or relationship, supported by consideration, protective of a legitimate interest, and no broader than apparently necessary for the protection of the party it favors — all under the strict scrutiny these disfavored provisions receive. Even a restraint with no time or geographic limit is not automatically void, but it will be upheld only to the extent necessary to protect legitimate interests, so confirm the agreement recites the specific interest each covenant serves. </w:t>
      </w:r>
    </w:p>
    <w:p>
      <w:pPr>
        <w:keepNext/>
        <w:spacing w:before="200" w:after="80"/>
      </w:pPr>
      <w:r>
        <w:rPr>
          <w:rFonts w:ascii="Segoe UI Symbol" w:hAnsi="Segoe UI Symbol"/>
        </w:rPr>
        <w:t xml:space="preserve">☐  </w:t>
      </w:r>
      <w:r>
        <w:rPr>
          <w:b/>
        </w:rPr>
        <w:t xml:space="preserve">19.5  </w:t>
      </w:r>
      <w:r>
        <w:rPr>
          <w:b/>
        </w:rPr>
        <w:t xml:space="preserve">Trade-secret fallback that stands alone</w:t>
      </w:r>
      <w:r>
        <w:t xml:space="preserve"> — Recommended (SHOULD)</w:t>
      </w:r>
    </w:p>
    <w:p>
      <w:pPr>
        <w:spacing w:before="0" w:after="120"/>
        <w:ind w:left="540"/>
      </w:pPr>
      <w:r>
        <w:t xml:space="preserve">Verify the trade-secret and confidentiality terms work with the non-compete deleted, because for protected categories and regulated professions it will be. The act expressly preserves post-employment trade-secret agreements, Rhode Island trade-secret law enjoins actual or threatened misappropriation, and contractual remedies survive alongside the statutory ones. That fallback stack only holds if confidential information is defined carefully, trade-secret treatment is reserved for information meeting the statutory definition, and the NDA is not written so broadly it becomes a hidden non-compete. </w:t>
      </w:r>
    </w:p>
    <w:p>
      <w:pPr>
        <w:spacing w:before="360" w:after="0"/>
      </w:pPr>
      <w:r>
        <w:rPr>
          <w:color w:val="666666"/>
          <w:sz w:val="16"/>
          <w:szCs w:val="16"/>
        </w:rPr>
        <w:t xml:space="preserve">Steven Obiajulu, J.D. edits this review checklist for Rhode Island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