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New Hampshire</w:t>
      </w:r>
    </w:p>
    <w:p>
      <w:pPr>
        <w:spacing w:before="0" w:after="120"/>
      </w:pPr>
      <w:r>
        <w:rPr>
          <w:i/>
          <w:color w:val="444444"/>
        </w:rPr>
        <w:t xml:space="preserve">A clause-by-clause reviewer checklist for New Hampshire employee restrictive covenant agreements — confidentiality, non-solicits, non-competes, and non-disparagement under RSA 275:70's pre-acceptance notice rule, the RSA 275:70-a low-wage ban, and the three-part reasonableness test.</w:t>
      </w:r>
    </w:p>
    <w:p>
      <w:pPr>
        <w:spacing w:before="0" w:after="240"/>
      </w:pPr>
      <w:r>
        <w:rPr>
          <w:color w:val="666666"/>
          <w:sz w:val="18"/>
          <w:szCs w:val="18"/>
        </w:rPr>
        <w:t xml:space="preserve">By Steven Obiajulu, J.D. Last reviewed 2026-06-11. License: CC BY 4.0. https://openagreements.org/checklists/non-compete/us/new-hampshire</w:t>
      </w:r>
    </w:p>
    <w:p>
      <w:pPr>
        <w:keepNext/>
        <w:spacing w:before="360" w:after="160"/>
      </w:pPr>
      <w:r>
        <w:rPr>
          <w:b/>
          <w:sz w:val="28"/>
          <w:szCs w:val="28"/>
        </w:rPr>
        <w:t xml:space="preserve">1. Parties and cover-term identification</w:t>
      </w:r>
    </w:p>
    <w:p>
      <w:pPr>
        <w:spacing w:before="0" w:after="120"/>
      </w:pPr>
      <w:r>
        <w:t xml:space="preserve">Review every item below the way a New Hampshire court would: the covenant must pass a three-part reasonableness test, a new hire must receive it before accepting the offer, and a low-wage employee cannot be bound by it at all. For the question-by-question legal analysis behind these items, see the </w:t>
      </w:r>
      <w:r>
        <w:t xml:space="preserve">New Hampshire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made the offer and pays the wages. New Hampshire's statutory duties run against the employer requiring the covenant — the pre-acceptance delivery obligation most of all — so a covenant signed with a parent or affiliate that never extended the offer muddies who owed the notice and when.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unusual work in New Hampshire: for a new hire the covenant has to reach the employee before the offer is accepted, so the agreement's date — and any record of when it was actually delivered — is the first evidence the statutory sequence was honored. An undated covenant invites the inference that it surfaced during onboarding rather than with the offer.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then look past it. The low-wage ban turns on the hourly rate measured against 200 percent of the federal minimum wage, not on title or duties, and the clinician practice bans turn on licensure. Title and duties still matter as evidence of which protectable interests — customer influence, confidential information — the worker actually touched.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Everything in this checklist assumes New Hampshire law applies, which means a common-law reasonableness test plus the statutory gates at the end of this page; a form drafted for a different regime rarely survives those gates unedited, so a missing or mismatched governing-law term is the first thing to resolve.</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New Hampshire treats confidential information other than trade secrets — a unique business method, for example — as an interest a covenant can protect, so this definition does substantive work. Bound it to information the employer actually keeps confidential; a definition that swallows the worker's general skill and industry knowledge protects nothing a court will recognize.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independent economic value from secrecy plus reasonable secrecy efforts. Trade secrets head the list of interests that can carry a New Hampshire covenant, and a trade-secret recital naming categories nobody actually protects fails both halves of the statutory test.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clock auditable. New Hampshire measures duration against the interest being protected — narrowly tailored to the goodwill or confidential-information interest, not a round number copied forward from last year's form.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territory to where the worker actually built customer or patient relationships. A geography is not reasonable merely because it is named; it should correspond to the worker's sphere of contact rather than the employer's footprint, and it must be narrowly tailored to the goodwill interest it claims to protect.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served or influenced during a stated look-back window. New Hampshire's leading customer-restriction case struck a covenant that reached customers beyond the salesperson's contacts as going far beyond the sphere of customer goodwill — an entire-book-of-business definition repeats that mistake.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New Hampshire has already held that the mere cost of recruiting and hiring is not a protectable interest, so a workforce-wide definition rests the clause on exactly the interest the court rejected.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assets at risk and match them to the recognized catalog: trade secrets, confidential information beyond trade secrets, special customer influence, employment-developed contacts, and goodwill. Recitals about competition in general add nothing the first prong of the reasonableness test can use.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 restraint may be no greater than necessary to protect the legitimate interest, so a definition that expands to anything the employer might someday do overshoots the only measure the first prong supplies.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burdens the worker with no offsetting employer interest — gratuitous weight on the undue-hardship prong.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as a defined term — many agreements inline the carve-out language instead. If the capitalized term appears, confirm its percentage threshold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solicitation to contact the worker initiates. The interest behind a non-solicit is the worker's special influence over the employer's customers obtained during employment — influence is exercised by reaching out, and a definition that also captures passively received inquiries widens the restraint beyond that interest.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The restricted period and every survival clock run from this event, and an ambiguous trigger hands the court a reason to read the restraint against the drafter.</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it was delivered, signed, and what supported it</w:t>
      </w:r>
      <w:r>
        <w:t xml:space="preserve"> — Recommended (SHOULD)</w:t>
      </w:r>
    </w:p>
    <w:p>
      <w:pPr>
        <w:spacing w:before="0" w:after="120"/>
        <w:ind w:left="540"/>
      </w:pPr>
      <w:r>
        <w:t xml:space="preserve">New Hampshire is forgiving on consideration — continued employment after signing supports the covenant — but consideration cannot cure a timing defect: a new hire required to sign as a condition of employment must receive the covenant before accepting the offer. The acknowledgement should record the delivery date, the signing date, and the consideration that moved, because the same recital later evidences the good-faith execution on which reformation of any overbroad term depends.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New Hampshire statute demands it, but reformation here is gated on how the employer behaved at execution, and bad-faith facts can end the enforceability inquiry outright. A counsel acknowledgement backed by real time to use it is cheap evidence on the right side of that question.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both federal law and New Hampshire's chapter 350-B key trade-secret status to continued secrecy and continued secrecy efforts. The state stakes are concrete: when a noncompete fails one of the statutory gates, trade-secret protection is the remedy that keeps working, and a fixed expiry undercuts 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New Hampshire recognizes confidential information short of trade-secret status as protectable, but a perpetual lid on everything strains reasonableness; the two-track structure keeps perpetual treatment where secrecy actually supports it.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New Hampshire: omit the immunity notice and the employer forfeits exemplary damages and attorney fees in a later trade-secret suit against the worker. Because trade-secret and nondisclosure protection carry so much of the load when a New Hampshire covenant fails, giving away federal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A confidentiality clause with no compelled-disclosure exception forces the worker to choose between the contract and a subpoena — overbreadth that serves no recognizable employer interest.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When the realistic New Hampshire remedy is a trade-secret or nondisclosure order rather than the covenant itself, the certification becomes the cleanest contemporaneous evidence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in New Hampshire it needs its own interest. The court has held that the mere cost of recruiting and hiring employees is not protectable, so a no-poach clause should rest on something more concrete: the departing team's customer relationships or confidential know-how, kept inside the Covered Employees class and the Restricted Period.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best kept inside the worker's own book: New Hampshire struck a restriction that reached customers beyond the salesperson's contacts. If the clause appears, check the customer class against the goodwill-sphere item in the New Hampshire gates at the end of this checklist before anything else.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receiving business rather than chasing it. New Hampshire tests it like any other restraint: no greater than necessary for the protected interest, and the further the clause drifts from the worker's own customer influence, the harder that showing gets.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route it through the New Hampshire gates at the end of this checklist before reviewing its terms: pre-acceptance delivery for new hires, the low-wage ban, the recognized-interest requirement, and the goodwill-sphere limits. A covenant that fails a statutory gate is unenforceable or void no matter how reasonably it reads.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New Hampshire enforced a covenant the court found reasonable on a tailored record — specificity is the cheapest tailoring evidence, and it strengthens the good-faith record that any later reformation depends on.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detached from any customer-facing activity sits poorly with a test that asks what employer interest the restriction actually protects.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Clinician-specific notices and carve-outs</w:t>
      </w:r>
    </w:p>
    <w:p>
      <w:pPr>
        <w:keepNext/>
        <w:spacing w:before="200" w:after="80"/>
      </w:pPr>
      <w:r>
        <w:rPr>
          <w:rFonts w:ascii="Segoe UI Symbol" w:hAnsi="Segoe UI Symbol"/>
        </w:rPr>
        <w:t xml:space="preserve">☐  </w:t>
      </w:r>
      <w:r>
        <w:rPr>
          <w:b/>
        </w:rPr>
        <w:t xml:space="preserve">9.1  </w:t>
      </w:r>
      <w:r>
        <w:rPr>
          <w:b/>
        </w:rPr>
        <w:t xml:space="preserve">No geographic practice bans for covered clinicians</w:t>
      </w:r>
      <w:r>
        <w:t xml:space="preserve"> — Prohibited (MUST NOT)</w:t>
      </w:r>
    </w:p>
    <w:p>
      <w:pPr>
        <w:spacing w:before="0" w:after="120"/>
        <w:ind w:left="540"/>
      </w:pPr>
      <w:r>
        <w:t xml:space="preserve">The agreement must not restrict where a covered New Hampshire clinician may practice after the relationship ends. Separate statutes void geographic post-termination practice restrictions for physicians, nurses, advanced practice registered nurses (effective August 23, 2025), and podiatrists, while expressly preserving the contract's remaining provisions — licensure is the test, not the job title on the signature page. If the real concern is information protection rather than practice location, carry it in confidentiality and trade-secret provisions, which these statutes leave intact.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intake it cuts both ways in New Hampshire: an incoming covenant may carry its own defects — late delivery to a new hire, a covered low-wage signer — so ask for the prior paper itself rather than a conclusion about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condition any disclosure on a covenant that actually survives the New Hampshire gates — warning a new employer off the worker based on an undelivered new-hire covenant or a low-wage covenant asserts a restraint the statutes already make unenforceable or void.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expressly whether the restricted period extends during a breach — and any clause that does extend it should be treated as a drafting choice of uncertain enforceability. No New Hampshire appellate decision in the practice note's source set blesses tolling, and the remedial pattern leans the other way: reformation narrows scope on a good-faith showing, and in the sale-of-business setting the court refused to stretch a written five-year term. Tie any tolling clause to the protected interest and the covenant's overall duration, and price in the possibility that it adds nothing.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treat it as a recital, not a result. A federal court applying New Hampshire law declined to enjoin a noncompete for want of irreparable injury and a favorable balance of equities while still granting the narrower nondisclosure injunction; the equities get proved, not recited.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Check that any fee-shifting is mutual and prevailing-party based — a one-way employer clause stacked on an aggressive covenant adds pressure without adding enforceability, in a state whose courts weigh how the employer behaved when deciding whether to rescue an overbroad term.</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Drafted narrow instead of leaning on court repair</w:t>
      </w:r>
      <w:r>
        <w:t xml:space="preserve"> — Avoid (SHOULD NOT)</w:t>
      </w:r>
    </w:p>
    <w:p>
      <w:pPr>
        <w:spacing w:before="0" w:after="120"/>
        <w:ind w:left="540"/>
      </w:pPr>
      <w:r>
        <w:t xml:space="preserve">Read the severability clause as a signal, not a safety net. New Hampshire courts can reform an overbroad covenant only when the employer proves it acted in good faith in executing the agreement, and bad-faith execution facts can take reformation off the table entirely. A reformation clause may stay in the instrument, but the covenant should be sized to the enforceable scope at signing — and the execution practices behind it, advance delivery and real time to review, are part of what preserves the rescue if a term still overshoots.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where secrecy persists, finite elsewhere. The discipline matters in New Hampshire because duration is one of the dimensions the reasonableness test polices, and a bundled survival clause is where an unexamined duration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New Hampshire has let an asset-purchase buyer enforce an employee noncompete because the agreement's plain transfer language conveyed it — the words of the assignment clause, not assumptions about successorship, decide who can enforce.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The agreement should state governing law, venue, and dispute process in one place. Restrictive-covenant outcomes are jurisdiction-sensitive, and every gate on this page assumes New Hampshire law applies — an unstated or mismatched choice-of-law clause reopens the threshold question of which state's rules govern the covenant at all.</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New Hampshire wrinkle: covenants get re-papered at raises and promotions, and a mid-employment refresh is sound on consideration grounds because continued employment supports it. The trap runs the other way — a covenant that first surfaces in onboarding or amendment paperwork for a worker hired without one invites the timing fight the notice statute exists to prevent. </w:t>
      </w:r>
    </w:p>
    <w:p>
      <w:pPr>
        <w:keepNext/>
        <w:spacing w:before="360" w:after="160"/>
      </w:pPr>
      <w:r>
        <w:rPr>
          <w:b/>
          <w:sz w:val="28"/>
          <w:szCs w:val="28"/>
        </w:rPr>
        <w:t xml:space="preserve">19. New Hampshire statutory gates (RSA 275:70, RSA 275:70-a, and the common-law test)</w:t>
      </w:r>
    </w:p>
    <w:p>
      <w:pPr>
        <w:spacing w:before="0" w:after="120"/>
      </w:pPr>
      <w:r>
        <w:t xml:space="preserve">The four items below exist only on this New Hampshire page: they implement the pre-acceptance delivery rule, the low-wage ban, and the common-law boundaries — recognized interests and the sphere of customer goodwill — that gate every covenant the earlier sections inventoried.</w:t>
      </w:r>
    </w:p>
    <w:p>
      <w:pPr>
        <w:keepNext/>
        <w:spacing w:before="200" w:after="80"/>
      </w:pPr>
      <w:r>
        <w:rPr>
          <w:rFonts w:ascii="Segoe UI Symbol" w:hAnsi="Segoe UI Symbol"/>
        </w:rPr>
        <w:t xml:space="preserve">☐  </w:t>
      </w:r>
      <w:r>
        <w:rPr>
          <w:b/>
        </w:rPr>
        <w:t xml:space="preserve">19.1  </w:t>
      </w:r>
      <w:r>
        <w:rPr>
          <w:b/>
        </w:rPr>
        <w:t xml:space="preserve">Copy delivered before the offer was accepted</w:t>
      </w:r>
      <w:r>
        <w:t xml:space="preserve"> — Required (MUST)</w:t>
      </w:r>
    </w:p>
    <w:p>
      <w:pPr>
        <w:spacing w:before="0" w:after="120"/>
        <w:ind w:left="540"/>
      </w:pPr>
      <w:r>
        <w:t xml:space="preserve">For a new hire required to sign as a condition of employment, ask for the delivery evidence itself: the employer must provide a copy of the noncompete before the employee accepts the offer, and an undisclosed covenant is unenforceable against the employee while the rest of the agreement survives. Consideration doctrine cannot patch this — continued employment supports a covenant, but the disclosure gate operates independently. The offer file should show the covenant traveled with the offer, not with the onboarding packet. </w:t>
      </w:r>
    </w:p>
    <w:p>
      <w:pPr>
        <w:keepNext/>
        <w:spacing w:before="200" w:after="80"/>
      </w:pPr>
      <w:r>
        <w:rPr>
          <w:rFonts w:ascii="Segoe UI Symbol" w:hAnsi="Segoe UI Symbol"/>
        </w:rPr>
        <w:t xml:space="preserve">☐  </w:t>
      </w:r>
      <w:r>
        <w:rPr>
          <w:b/>
        </w:rPr>
        <w:t xml:space="preserve">19.2  </w:t>
      </w:r>
      <w:r>
        <w:rPr>
          <w:b/>
        </w:rPr>
        <w:t xml:space="preserve">No non-compete for a low-wage employee</w:t>
      </w:r>
      <w:r>
        <w:t xml:space="preserve"> — Prohibited (MUST NOT)</w:t>
      </w:r>
    </w:p>
    <w:p>
      <w:pPr>
        <w:spacing w:before="0" w:after="120"/>
        <w:ind w:left="540"/>
      </w:pPr>
      <w:r>
        <w:t xml:space="preserve">The agreement must not impose a noncompete on a low-wage employee: the statute forbids requiring one and makes any such agreement void and unenforceable. The class is defined by hourly rate — at or below 200 percent of the federal minimum wage, which is $14.50 per hour while the federal floor sits at $7.25 — not by title or duties, so establish the wage facts before reviewing anything else about the covenant. Narrower wording does not save a covered clause. </w:t>
      </w:r>
    </w:p>
    <w:p>
      <w:pPr>
        <w:keepNext/>
        <w:spacing w:before="200" w:after="80"/>
      </w:pPr>
      <w:r>
        <w:rPr>
          <w:rFonts w:ascii="Segoe UI Symbol" w:hAnsi="Segoe UI Symbol"/>
        </w:rPr>
        <w:t xml:space="preserve">☐  </w:t>
      </w:r>
      <w:r>
        <w:rPr>
          <w:b/>
        </w:rPr>
        <w:t xml:space="preserve">19.3  </w:t>
      </w:r>
      <w:r>
        <w:rPr>
          <w:b/>
        </w:rPr>
        <w:t xml:space="preserve">A recognized interest behind every restraint</w:t>
      </w:r>
      <w:r>
        <w:t xml:space="preserve"> — Required (MUST)</w:t>
      </w:r>
    </w:p>
    <w:p>
      <w:pPr>
        <w:spacing w:before="0" w:after="120"/>
        <w:ind w:left="540"/>
      </w:pPr>
      <w:r>
        <w:t xml:space="preserve">Run each restraint through the three-part test: no greater than necessary for the employer's legitimate interest, no undue hardship on the employee, no injury to the public interest. The interests that count are the recognized ones — trade secrets, confidential information beyond trade secrets, special customer influence, employment-developed contacts, and goodwill — and the cost of recruiting and hiring is already off the list. A covenant that cannot name its interest fails the first prong before scope is even reached. </w:t>
      </w:r>
    </w:p>
    <w:p>
      <w:pPr>
        <w:keepNext/>
        <w:spacing w:before="200" w:after="80"/>
      </w:pPr>
      <w:r>
        <w:rPr>
          <w:rFonts w:ascii="Segoe UI Symbol" w:hAnsi="Segoe UI Symbol"/>
        </w:rPr>
        <w:t xml:space="preserve">☐  </w:t>
      </w:r>
      <w:r>
        <w:rPr>
          <w:b/>
        </w:rPr>
        <w:t xml:space="preserve">19.4  </w:t>
      </w:r>
      <w:r>
        <w:rPr>
          <w:b/>
        </w:rPr>
        <w:t xml:space="preserve">Scope kept to the employee's own customer goodwill</w:t>
      </w:r>
      <w:r>
        <w:t xml:space="preserve"> — Recommended (SHOULD)</w:t>
      </w:r>
    </w:p>
    <w:p>
      <w:pPr>
        <w:spacing w:before="0" w:after="120"/>
        <w:ind w:left="540"/>
      </w:pPr>
      <w:r>
        <w:t xml:space="preserve">Check customer and territory limits against the employee's actual sphere of customer goodwill — the customers and patients this person dealt with, in the places they dealt with them. A covenant reaching the employer's whole customer base was held more restrictive than necessary, and geography and duration must be narrowly tailored to the goodwill interest. When the covered class outruns the employee's own contacts, narrow it now rather than hoping a court will. </w:t>
      </w:r>
    </w:p>
    <w:p>
      <w:pPr>
        <w:spacing w:before="360" w:after="0"/>
      </w:pPr>
      <w:r>
        <w:rPr>
          <w:color w:val="666666"/>
          <w:sz w:val="16"/>
          <w:szCs w:val="16"/>
        </w:rPr>
        <w:t xml:space="preserve">Steven Obiajulu, J.D. edits this review checklist for New Hampshire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