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Nebraska</w:t>
      </w:r>
    </w:p>
    <w:p>
      <w:pPr>
        <w:spacing w:before="0" w:after="120"/>
      </w:pPr>
      <w:r>
        <w:rPr>
          <w:i/>
          <w:color w:val="444444"/>
        </w:rPr>
        <w:t xml:space="preserve">A clause-by-clause reviewer checklist for Nebraska employee restrictive covenant agreements — confidentiality, non-solicits, non-competes, and non-disparagement under Nebraska's three-part reasonableness test, where a customer covenant survives only when limited to customers the employee personally served and no court will rewrite an overbroad restraint.</w:t>
      </w:r>
    </w:p>
    <w:p>
      <w:pPr>
        <w:spacing w:before="0" w:after="240"/>
      </w:pPr>
      <w:r>
        <w:rPr>
          <w:color w:val="666666"/>
          <w:sz w:val="18"/>
          <w:szCs w:val="18"/>
        </w:rPr>
        <w:t xml:space="preserve">By Steven Obiajulu, J.D. Last reviewed 2026-06-12. License: CC BY 4.0. https://openagreements.org/checklists/non-compete/us/nebraska</w:t>
      </w:r>
    </w:p>
    <w:p>
      <w:pPr>
        <w:keepNext/>
        <w:spacing w:before="360" w:after="160"/>
      </w:pPr>
      <w:r>
        <w:rPr>
          <w:b/>
          <w:sz w:val="28"/>
          <w:szCs w:val="28"/>
        </w:rPr>
        <w:t xml:space="preserve">1. Parties and cover-term identification</w:t>
      </w:r>
    </w:p>
    <w:p>
      <w:pPr>
        <w:spacing w:before="0" w:after="120"/>
      </w:pPr>
      <w:r>
        <w:t xml:space="preserve">Review every item below the way a Nebraska court would: a restraint of trade survives only when it protects a legitimate interest — customer goodwill, confidential information, trade secrets — and goes no further, the safest customer covenant reaches only the clients the worker personally served, and an overbroad covenant is enforced as written or not at all. For the question-by-question legal analysis behind these items, see the </w:t>
      </w:r>
      <w:r>
        <w:t xml:space="preserve">Nebraska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client relationships the covenants protect. Nebraska ties a valid customer covenant to the clients and accounts the worker actually did business with for that employer, so a covenant running to an affiliate the worker never served starts the reasonableness analysis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the timeline everything else runs on: when each restricted period starts and ends, and which window of customer contact the covered-customer look-back measures. An undated covenant leaves both open, and ambiguity in a restraint of trade is not a drafting nicety here — the covenant is read as written.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of which customers this worker personally served and what goodwill the worker could unfairly take. A role with no customer contact or sensitive access makes any restraint hard to justify as protecting a legitimate interest rather than suppressing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Nebraska law controls — the three-part reasonableness test, the personally-served customer rule, and the refusal to rewrite an overbroad covenant.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secret or competitively sensitive. Nebraska's statutory trade-secret definition is demanding — independent economic value from secrecy plus reasonable efforts to maintain it — and a confidentiality definition that sweeps in general skills and public knowledge protects no interest a Nebraska court recognizes.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statute. Nebraska's Trade Secrets Act gives a freestanding misappropriation claim with its own narrow definition, so a statute-tracking defined term keeps the strongest protection in the agreement aligned with the one a court will actually apply.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definite stretch of time. A restraint with no limit in time or space is against public policy and void in Nebraska, and a period that floats on events — breach, litigation, renewals — drifts toward exactly that defect with no court willing to trim it back.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Treat any defined territory with suspicion rather than comfort. Nebraska employment covenants are safest when customer-specific, because a radius or territory ban tends to block ordinary competition — the worker using general skill in the market — rather than protect a defined goodwill interest, and the state supreme court has rejected a covenant on precisely that ground.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This is the load-bearing definition on the page. Bound the class to clients and accounts the worker actually did business with and personally contacted, over a stated look-back window — and keep prospective customers out, because a federal court applying Nebraska law rejected a non-solicit that reached the company's actual or prospective relationships as greatly exceeding the permissible scope.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The practice note stages no Nebraska case on employee non-solicits specifically, so assume the general framework applies: the narrower and more personal the covered class, the easier it is to defend as protecting a legitimate interest.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goodwill this worker carried, the genuinely secret information this role touched. The second of Nebraska's three requirements measures every restraint against the legitimate interest it serves, and a covenant that cannot point to one reads as an attempt to stop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Broad definitions of competitive work — substantially similar products or services, anything the employer might someday offer — helped sink a modern media covenant as unreasonable and unenforceable under Nebraska law, and breadth added here cannot be trimmed by a court later.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restrains the worker far beyond any customer relationship or secret, and Nebraska's third requirement asks directly whether the restraint is unduly harsh and oppressive on the employee.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Nebraska's customer rule speaks of restricting the worker from working for or soliciting personally served clients, so the definition should make clear which of those activities the clause restrains — and any reading broader than that customer set is breadth the covenant has to justify.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 — in a state that enforces the covenant exactly as written.</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covenant was signed relative to the first day of work and what consideration supported it. The practice note stages no Nebraska-specific consideration rule, so treat the acknowledgement as evidence housekeeping: a clean record of timing and exchanged value costs nothing now and forecloses an argument later.</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Nebraska statute requires it, but a documented chance to take advice is useful evidence on the harshness question a Nebraska court actually weighs — whether the restraint is unduly harsh and oppressive on the employee, in substance or in how it was obtained.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trade-secret status to continued secrecy, and Nebraska's statutory definition is built the same way — value from not being known, plus reasonable efforts to keep it that way — so a fixed expiry on trade-secret protection gives away the one obligation that outlasts every covenant on this page.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An open-ended lid on non-secret information is breadth without a matching interest — and in a state that measures every restraint against what is reasonably necessary and refuses to trim the excess, unjustified breadth is risk the employer carries, not slack a court absorbs.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whose covenant rules push employers toward trade-secret and confidentiality tools instead of broad non-competes, those remedies do real work.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Nebraska covenant has no room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Nebraska's trade-secret definition conditions protection on efforts that are reasonable under the circumstances to maintain secrecy, so a disciplined exit procedure is not just housekeeping — it is part of the proof that the employer kept its end of the statutory bargain.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The practice note stages no Nebraska case on employee non-solicits specifically, so review the clause under the general framework every Nebraska restraint must satisfy: a legitimate interest, no more breadth than that interest needs, and no undue harshness on the worker. A covered class limited to colleagues the worker actually worked with is the defensible shape.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the covenant Nebraska law is actually built around — when it reaches only the clients the worker personally served. The state supreme court has upheld a restriction limited to customers the worker had personal business dealings with as properly focused on protecting goodwill rather than blocking competition. Route it through the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Nebraska's customer rule tolerates restricting the worker from working for or soliciting personally served clients — but nothing wider — so a non-dealing clause earns its place only with a tight, personally-served customer class behind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true Nebraska non-compete for an ordinary employee is the highest-risk covenant in the suite. The restraint must clear all three reasonableness requirements, and a ban framed around a business, market, or territory rather than personally served customers reads as an attempt to prevent ordinary competition — the exact ground the state supreme court has used to strike one.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Broad competitive-work language helped sink a modern Nebraska covenant, and narrowing done at the drafting table is the only narrowing this covenant will ever get — it is not the function of the courts here to reform a covenant to make it enforceable.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hands the harshness requirement exactly the breadth it counts against the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practice note reports no physician-specific Nebraska covenant rule and no general statutory ban as of its review date, so a physician covenant runs through the same framework as any other employee restraint: a legitimate interest, no more breadth than necessary, no undue harshness — with the patient relationships a physician personally served as the natural covered class. The dedicated clause should state the agreement's actual treatment of physicians rather than import another jurisdiction's rules by template inertia.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Nebraska's narrow framework, but one scoped to personally served customers can survive review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that reaches customers the worker never served overstates the employer's position and creates its own interference exposure — so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Nebraska appellate law is silent on tolling: no staged decision says whether a court may pause the clock during a breach or whether a contractual extension-on-breach clause is enforceable. Read any tolling language as another restraint that must be reasonable as written — a restraint with no effective limit in time is void here, and a covenant a court finds overbroad does not get reformed into a lawful one. If tolling appears, it should be a separate, definite term tied to the duration of the breach, never an open-ended extension.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relief presupposes a covenant that first clears Nebraska's three reasonableness requirements. An unenforceable restraint supports no injunction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If a fee provision appears, check that it runs both ways — a one-sided clause sits poorly next to a harshness inquiry that already asks how much the agreement piles onto the worker.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Self-contained covenants, not a court rescue</w:t>
      </w:r>
      <w:r>
        <w:t xml:space="preserve"> — Avoid (SHOULD NOT)</w:t>
      </w:r>
    </w:p>
    <w:p>
      <w:pPr>
        <w:spacing w:before="0" w:after="120"/>
        <w:ind w:left="540"/>
      </w:pPr>
      <w:r>
        <w:t xml:space="preserve">Read the severability boilerplate against what a Nebraska court will actually do, which is nothing: the state supreme court has declined to revisit its rejection of the blue pencil rule, has said reformation is not the function of the courts, and has found an unreasonable covenant and simply not reformed it. A clause asking the court to reduce the restraint to whatever is reasonable is therefore a dead letter. Worse, severability itself has a trap — where integrated restraints are not severable, the entire clause is invalid if one portion is invalid — so look for covenants drafted as genuinely separate units, each self-contained, each scoped to the customers the worker personally served, each able to fall alone.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Nebraska treats nonseverable integrated restraints as standing or falling together, so self-contained survival language is the difference between losing one overreaching clause and losing the whole covenant suite with it.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Who can enforce after a sale or merger</w:t>
      </w:r>
      <w:r>
        <w:t xml:space="preserve"> — Recommended (SHOULD)</w:t>
      </w:r>
    </w:p>
    <w:p>
      <w:pPr>
        <w:spacing w:before="0" w:after="120"/>
        <w:ind w:left="540"/>
      </w:pPr>
      <w:r>
        <w:t xml:space="preserve">Confirm the employer can assign to successors — and know that Nebraska has recognized a second path: where the statute governing a merger transfers contracts by operation of law, a covenant passes to the surviving company regardless of whether it would otherwise be assignable. Succession moves the covenant without improving it, though. The successor still must prove the restraint valid under Nebraska's rules, and in the controlling case that worked because the restriction was tied to customers the worker personally dealt with during the preceding two years.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Out-of-state law is not the enforceability plan</w:t>
      </w:r>
      <w:r>
        <w:t xml:space="preserve"> — Avoid (SHOULD NOT)</w:t>
      </w:r>
    </w:p>
    <w:p>
      <w:pPr>
        <w:spacing w:before="0" w:after="120"/>
        <w:ind w:left="540"/>
      </w:pPr>
      <w:r>
        <w:t xml:space="preserve">Name the governing law, venue, and dispute process — but do not let an out-of-state selection carry the enforceability strategy. The Nebraska Supreme Court applied Nebraska law to an out-of-state employer's covenant because the worker performed the services in Nebraska and the competition affected Nebraska, and it emphasized that overbroad postemployment restraints are against Nebraska public policy and void. That was a conflicts ruling, not a clause ban — no express choice-of-law clause was at issue — so treat a foreign-law selection as a risk variable rather than a cure, and draft the covenant to satisfy Nebraska law whenever Nebraska is the likely place of work, customers, and enforcement.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any amendment that widens a covenant — a bigger customer class, a longer period — re-runs the whole Nebraska analysis on the new terms, because the covenant is judged as written with no court trimming it back afterward. Amendment mechanics should leave a clean record of what changed and when.</w:t>
      </w:r>
    </w:p>
    <w:p>
      <w:pPr>
        <w:keepNext/>
        <w:spacing w:before="360" w:after="160"/>
      </w:pPr>
      <w:r>
        <w:rPr>
          <w:b/>
          <w:sz w:val="28"/>
          <w:szCs w:val="28"/>
        </w:rPr>
        <w:t xml:space="preserve">19. Nebraska enforceability gates</w:t>
      </w:r>
    </w:p>
    <w:p>
      <w:pPr>
        <w:spacing w:before="0" w:after="120"/>
      </w:pPr>
      <w:r>
        <w:t xml:space="preserve">The five items below exist only on this Nebraska page: they implement the three-part reasonableness test, the personally-served customer scope rule, the caution against geographic and activity bans, the sale-of-business framework line, and the franchise-only statutory reformation exception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All three reasonableness requirements satisfied</w:t>
      </w:r>
      <w:r>
        <w:t xml:space="preserve"> — Required (MUST)</w:t>
      </w:r>
    </w:p>
    <w:p>
      <w:pPr>
        <w:spacing w:before="0" w:after="120"/>
        <w:ind w:left="540"/>
      </w:pPr>
      <w:r>
        <w:t xml:space="preserve">Run every restraint through Nebraska's three requirements: not injurious to the public, no greater than reasonably necessary to protect a legitimate employer interest, and not unduly harsh and oppressive on the employee. The legitimate interest is protection against unfair competition — goodwill, confidential information, trade secrets — never the suppression of ordinary competition from a worker who simply got better at the job, and the statutory background declares restraints of trade unlawful as the baseline every covenant must overcome. Score each covenant on each requirement, in writing, before relying on any of them. </w:t>
      </w:r>
    </w:p>
    <w:p>
      <w:pPr>
        <w:keepNext/>
        <w:spacing w:before="200" w:after="80"/>
      </w:pPr>
      <w:r>
        <w:rPr>
          <w:rFonts w:ascii="Segoe UI Symbol" w:hAnsi="Segoe UI Symbol"/>
        </w:rPr>
        <w:t xml:space="preserve">☐  </w:t>
      </w:r>
      <w:r>
        <w:rPr>
          <w:b/>
        </w:rPr>
        <w:t xml:space="preserve">19.2  </w:t>
      </w:r>
      <w:r>
        <w:rPr>
          <w:b/>
        </w:rPr>
        <w:t xml:space="preserve">Customer limits tied to people the worker served</w:t>
      </w:r>
      <w:r>
        <w:t xml:space="preserve"> — Prohibited (MUST NOT)</w:t>
      </w:r>
    </w:p>
    <w:p>
      <w:pPr>
        <w:spacing w:before="0" w:after="120"/>
        <w:ind w:left="540"/>
      </w:pPr>
      <w:r>
        <w:t xml:space="preserve">The central Nebraska gate: a goodwill covenant may be valid only if it restricts the worker from working for or soliciting the clients and accounts the worker actually did business with and personally contacted. Reaching accounts the worker never handled or even knew, or prospective customers the company merely hoped to win, took covenants down in the controlling case and in a 2024 federal application alike. The personally-served limit is a floor, not a safe harbor — the covenant still has to clear all three reasonableness requirements — and because no court here trims an overbroad class, one customer category too many risks voiding the covenant in full. </w:t>
      </w:r>
    </w:p>
    <w:p>
      <w:pPr>
        <w:keepNext/>
        <w:spacing w:before="200" w:after="80"/>
      </w:pPr>
      <w:r>
        <w:rPr>
          <w:rFonts w:ascii="Segoe UI Symbol" w:hAnsi="Segoe UI Symbol"/>
        </w:rPr>
        <w:t xml:space="preserve">☐  </w:t>
      </w:r>
      <w:r>
        <w:rPr>
          <w:b/>
        </w:rPr>
        <w:t xml:space="preserve">19.3  </w:t>
      </w:r>
      <w:r>
        <w:rPr>
          <w:b/>
        </w:rPr>
        <w:t xml:space="preserve">No radius or whole-business bans for regular employees</w:t>
      </w:r>
      <w:r>
        <w:t xml:space="preserve"> — Avoid (SHOULD NOT)</w:t>
      </w:r>
    </w:p>
    <w:p>
      <w:pPr>
        <w:spacing w:before="0" w:after="120"/>
        <w:ind w:left="540"/>
      </w:pPr>
      <w:r>
        <w:t xml:space="preserve">An ordinary employee covenant should not lean on a radius, territory, or business-activity ban. The state supreme court struck a covenant as an attempt to prevent ordinary competition rather than unfair competition, and a short radius is no safe harbor when the practical effect is to stop the worker from using general skill in the market. Tie the restraint to personally served customers instead — and keep sale-of-business covenants, where geography can legitimately protect purchased goodwill, in their own drafting lane. </w:t>
      </w:r>
    </w:p>
    <w:p>
      <w:pPr>
        <w:keepNext/>
        <w:spacing w:before="200" w:after="80"/>
      </w:pPr>
      <w:r>
        <w:rPr>
          <w:rFonts w:ascii="Segoe UI Symbol" w:hAnsi="Segoe UI Symbol"/>
        </w:rPr>
        <w:t xml:space="preserve">☐  </w:t>
      </w:r>
      <w:r>
        <w:rPr>
          <w:b/>
        </w:rPr>
        <w:t xml:space="preserve">19.4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the seller's own restraint, supported by the purchase price. Nebraska treats a sale covenant as frequently necessary to make goodwill a transferable asset the buyer actually receives, and the controlling case upheld a sale-related customer restraint as a reasonable method to protect the purchased property. The covenant still must be reasonable in character, space, and time, and the favorable treatment stays in the deal: an employment covenant cannot become a disguised market ban just because the worker knows the business. </w:t>
      </w:r>
    </w:p>
    <w:p>
      <w:pPr>
        <w:keepNext/>
        <w:spacing w:before="200" w:after="80"/>
      </w:pPr>
      <w:r>
        <w:rPr>
          <w:rFonts w:ascii="Segoe UI Symbol" w:hAnsi="Segoe UI Symbol"/>
        </w:rPr>
        <w:t xml:space="preserve">☐  </w:t>
      </w:r>
      <w:r>
        <w:rPr>
          <w:b/>
        </w:rPr>
        <w:t xml:space="preserve">19.5  </w:t>
      </w:r>
      <w:r>
        <w:rPr>
          <w:b/>
        </w:rPr>
        <w:t xml:space="preserve">Franchise reformation statute stays in its lane</w:t>
      </w:r>
      <w:r>
        <w:t xml:space="preserve"> — Prohibited (MUST NOT)</w:t>
      </w:r>
    </w:p>
    <w:p>
      <w:pPr>
        <w:spacing w:before="0" w:after="120"/>
        <w:ind w:left="540"/>
      </w:pPr>
      <w:r>
        <w:t xml:space="preserve">Nebraska has exactly one statutory reformation rule, and it covers franchise non-compete agreements: when a court or arbitrator finds the restrictions unreasonable, the statute directs reformation to a reasonable and enforceable scope. Inside that lane the backstop is real; outside it, the common law controls and reformation is not the function of the courts. Flag any employment agreement that cites the franchise statute as a general savings mechanism — and any franchise agreement that fails to account for the mandatory reformation it is actually subject to. </w:t>
      </w:r>
    </w:p>
    <w:p>
      <w:pPr>
        <w:spacing w:before="360" w:after="0"/>
      </w:pPr>
      <w:r>
        <w:rPr>
          <w:color w:val="666666"/>
          <w:sz w:val="16"/>
          <w:szCs w:val="16"/>
        </w:rPr>
        <w:t xml:space="preserve">Steven Obiajulu, J.D. edits this review checklist for Nebraska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