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Kansas</w:t>
      </w:r>
    </w:p>
    <w:p>
      <w:pPr>
        <w:spacing w:before="0" w:after="120"/>
      </w:pPr>
      <w:r>
        <w:rPr>
          <w:i/>
          <w:color w:val="444444"/>
        </w:rPr>
        <w:t xml:space="preserve">A clause-by-clause reviewer checklist for Kansas employee restrictive covenant agreements — confidentiality, non-solicits, non-competes, and non-disparagement under the four-factor Weber v. Tillman reasonableness test and the K.S.A. 50-163 non-solicitation safe harbors.</w:t>
      </w:r>
    </w:p>
    <w:p>
      <w:pPr>
        <w:spacing w:before="0" w:after="240"/>
      </w:pPr>
      <w:r>
        <w:rPr>
          <w:color w:val="666666"/>
          <w:sz w:val="18"/>
          <w:szCs w:val="18"/>
        </w:rPr>
        <w:t xml:space="preserve">By Steven Obiajulu, J.D. Last reviewed 2026-06-12. License: CC BY 4.0. https://openagreements.org/checklists/non-compete/us/kansas</w:t>
      </w:r>
    </w:p>
    <w:p>
      <w:pPr>
        <w:keepNext/>
        <w:spacing w:before="360" w:after="160"/>
      </w:pPr>
      <w:r>
        <w:rPr>
          <w:b/>
          <w:sz w:val="28"/>
          <w:szCs w:val="28"/>
        </w:rPr>
        <w:t xml:space="preserve">1. Parties and cover-term identification</w:t>
      </w:r>
    </w:p>
    <w:p>
      <w:pPr>
        <w:spacing w:before="0" w:after="120"/>
      </w:pPr>
      <w:r>
        <w:t xml:space="preserve">Review every item below the way a Kansas court would: the covenant must be ancillary to a lawful employment contract, reasonable under the four-factor </w:t>
      </w:r>
      <w:r>
        <w:rPr>
          <w:i/>
        </w:rPr>
        <w:t xml:space="preserve">Weber v. Tillman</w:t>
      </w:r>
      <w:r>
        <w:t xml:space="preserve"> test, and not adverse to the public welfare — and the employer carries the burden on each of those. For the question-by-question legal analysis behind these items, see the </w:t>
      </w:r>
      <w:r>
        <w:t xml:space="preserve">Kansas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party to the employment relationship the covenant rides on. Kansas enforces a covenant only as an adjunct to a lawful contract, so an entity with no employment relationship to this worker has a much harder time showing the restraint protects its own legitimate business interest.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Pin the execution date and the start of employment. The statutory safe-harbor clocks for solicitation covenants run from the end of the relationship, and the reasonableness of a time limit is judged against the facts as they stood when the parties agreed — an undated covenant makes both harder to audit.</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and duties. The legitimate-interest and undue-burden factors both turn on what this employee actually did — which customers they touched, what information they accessed — so the title line is the first evidence a reviewer reaches for when sizing the covenant against the four-factor test.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Kansas has no statute overriding the parties' choice of law for restrictive covenants, so this clause does real selection work — it decides whether the </w:t>
      </w:r>
      <w:r>
        <w:rPr>
          <w:i/>
        </w:rPr>
        <w:t xml:space="preserve">Weber</w:t>
      </w:r>
      <w:r>
        <w:t xml:space="preserve"> framework and the K.S.A. 50-163 safe harbors govern the covenant at all.</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Define the protected information in two tiers, because Kansas splits the remedies: the trade-secret statute carries misappropriation claims, while everything below trade-secret status is protected only by contract. A confidentiality definition that names the non-secret categories — pricing, customer lists, internal know-how — is what keeps that second tier enforceable at all.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independent economic value from secrecy plus reasonable efforts to keep it secret. A trade-secret definition that sweeps in public or easily reconstructed information overstates the statute — and weakens the legitimate-interest showing the rest of the covenant suite depends on.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time-limit factor. Kansas sets no statutory ceiling for a non-compete, which puts the full weight on reasonableness — a clean, fixed period is the easiest version to defend, and the version Kansas appellate decisions have approved.</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protected interest actually operates. The leading Kansas territorial decision is a warning label: the court cut an excessive area down to only what was necessary to protect the employer's interest and enforced just that — so an everywhere-we-do-business territory invites a court to shrink the clause to its lawful core.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Model the class on the statute's material contact customer concept — customers the employee solicited, produced, or serviced, or about whom the employee held confidential or proprietary information. That definition is what earns a customer non-solicit its conclusive presumption of enforceability, and it doubles as a sound tailoring benchmark for the rest of the covenant suite.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employee actually worked with or supervised during a stated look-back window. The Kansas safe harbors documented in the practice note run to customer solicitation and owner covenants, so a coworker no-recruit clause should be built to stand on ordinary reasonableness: modest scope, defined class, fixed term.</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interests with Kansas specificity. Customer relationships, confidential information, and — for professional practices — referral sources are recognized protectable interests here; reciting them concretely gives the legitimate-business-interest factor something to grip.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An open-ended definition feeds the undue-burden factor against the employer, and a Kansas court asked to repair it may reduce the covenant to the minimum the court considers necessary rather than the scope the drafter imagined.</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threshold. A clause that technically forbids index funds and ordinary public shares burdens the employee far beyond any legitimate interest — exactly the imbalance the undue-burden factor exists to catch.</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capitalized-term mechanics — many agreements inline the carve-out without a separate definition. If the term appears, check its percentage against the operative carve-out so the two never drift apart.</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Read the definition against the statute's own verb list — solicit, recruit, induce, persuade, encourage, direct, or otherwise interfere. Kansas drafted its safe harbor around that breadth, so a contract definition wider than the statutory formula gains nothing, and a vaguer one converts enforcement into a fact-by-fact dispute. </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expiration of a fixed term the same way. The two-year safe-harbor clock for an employee customer non-solicit runs from the end of the employee's employment, so an ambiguous trigger leaves the covenant's most valuable presumption resting on a disputed date.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Kansas removes the usual mid-employment anxiety: continued employment of an at-will employee is sufficient consideration for a covenant signed after hire, so a covenant rolled out mid-stream does not need a bonus or promotion to stand. The acknowledgement still earns its place by dating the signature and tying the covenant to the employment contract it must be ancillary to.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Kansas statute requires it, but the acknowledgement is cheap procedural-fairness evidence — useful color when a court weighs the undue-burden factor against an employee claiming surprise.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 that is how the federal definition works, and the Kansas act is built on the same secrecy-keyed structure. A fixed expiry on trade-secret protection volunteers away the strongest interest the covenant suite protects.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Kansas protects non-secret information through contract alone, and contracts are enforced only as far as they are reasonable — a perpetual lid on non-secret information is the kind of overreach a Kansas court trims to the minimum it considers necessary.</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in Kansas: omit the immunity notice and the employer forfeits exemplary damages and attorney fees in a later trade-secret action against the worker. Given how much of the Kansas toolkit is trade-secret law, giving away those remedies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must leave wages, hours, and working conditions discussable. Federal labor law protects that speech no matter which state's law governs the agreement, and the Board has struck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No confidentiality covenant outruns a subpoena; the carve-out plus notice procedure keeps the clause realistic and the employee out of an impossible position.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Kansas trade-secret claims rise or fall on reasonable secrecy efforts, and a signed certification is the cleanest contemporaneous proof of those efforts if protected material later surfaces at a competitor.</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judged in Kansas by the general standard: a restraint is reasonable if it is reasonable in view of all the facts and circumstances and does not contravene the public welfare. Keep the clause inside the Covered Employees class and the Restricted Period so it reads as a modest restraint rather than a workforce-wide hiring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 and the best-supported covenant on the page when drafted to the statute: limited to material contact customers and capped at two years, it is conclusively presumed enforceable and not a restraint of trade. If it appears, run it through the Kansas safe-harbor gate at the end of this checklist before anything else.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The Kansas safe-harbor text reaches that conduct — the presumed covenant covers acceptance and transfer of a customer's business, not just outreach — so a non-dealing clause drafted to the material-contact class and the two-year cap can ride the same statutory presumption as the non-solicit.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Optional and enforceable in Kansas when reasonable — but the employer carries the burden of proving reasonableness, and enforceability gets a fresh look on appeal with no deference to the trial court. If the clause appears, route the review through the four-factor gate at the end of this checklist before evaluating any of its terms.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the open-ended Competitive Business definition. Kansas reformation runs one direction only — a court reduces unreasonable terms but has no discretion to rewrite ones that are already reasonable — so the narrow, defensible formulation the parties draft is the one that gets enforced as written.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 an investment restraint with no carve-out and no clock is the kind of undue burden the four-factor test screens out.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Reasonable to include with a stated duration, but check the carve-outs first: truthful testimony, statements to government agencies, and legally protected workplace speech have to stay outside the clause, because federal labor law polices overbroad versions no matter which state's law governs.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the Kansas position plainly: there is no physician or healthcare non-compete ban, covenants in medical practices are evaluated under the ordinary reasonableness test, and referral sources are a recognized legitimate interest a practice may protect. A 2026 proposal to ban most physician non-competes died in the 2025 to 2026 session without becoming law, so a clause drafted on the assumption of a ban misstates current Kansas law.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employee's representation that no earlier covenant or court order blocks the new role. Worth taking seriously on intake in Kansas, where a reasonable incoming covenant is likely enforceable — the representation surfaces that exposure before the first customer call instead of after it.</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A notice letter built on an overbroad covenant invites a tortious-interference fight the employer can lose along with the covenant, so condition any third-party disclosure on the covenant as a court would actually enforce it — which in Kansas may be a narrowed version of the covenant as written.</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No open-ended extension during a breach</w:t>
      </w:r>
      <w:r>
        <w:t xml:space="preserve"> — Avoid (SHOULD NOT)</w:t>
      </w:r>
    </w:p>
    <w:p>
      <w:pPr>
        <w:spacing w:before="0" w:after="120"/>
        <w:ind w:left="540"/>
      </w:pPr>
      <w:r>
        <w:t xml:space="preserve">Flag any clause that stretches the restricted period for as long as a breach or enforcement suit continues. The one Kansas appellate decision on point refused to enforce exactly that provision — a two-year term was reasonable, but an indefinite extension of it was not — and no Kansas case adds lost time back to a covenant on its own. The agreement should still answer the tolling question expressly; the defensible answer is a defined, reasonable fixed term, with damages and injunctive relief carrying the remedy load for in-term competition.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weigh it realistically: Kansas appellate courts review a covenant's enforceability without deference, so the recital smooths the path to relief but never substitutes for a covenant that survives the four-factor test.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the American Rule applies if the agreement is silent. Where fee-shifting appears, prefer mutual, prevailing-party drafting — a one-way employer clause hands the undue-burden factor another data point.</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Court narrowing within limits</w:t>
      </w:r>
      <w:r>
        <w:t xml:space="preserve"> — Recommended (SHOULD)</w:t>
      </w:r>
    </w:p>
    <w:p>
      <w:pPr>
        <w:spacing w:before="0" w:after="120"/>
        <w:ind w:left="540"/>
      </w:pPr>
      <w:r>
        <w:t xml:space="preserve">Keep the severability and reformation clause — Kansas courts genuinely use their equitable powers to reduce an overbroad restraint and enforce it as reduced. But read it as a backstop, not a license: a court reforms only unreasonable terms and has no discretion to rewrite ones that are already reasonable, and the statutory command to modify and enforce overbroad covenants belongs to the Restraint of Trade Act, which excludes covenants not to compete. Draft each covenant to its defensible scope first; an employer that overreaches risks getting only the minimum relief a court considers necessary.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for everything else. Each Kansas covenant must also survive its own reasonableness analysis, and a single bundled survival clause obscures exactly the per-covenant timing a reviewer needs to test.</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employee cannot assign. In a sale, remember the covenant landscape shifts with the signer: solicitation covenants signed by an owner or seller ride a longer statutory runway than employee covenants, so an acquirer protecting purchased goodwill should paper sellers as owners rather than rely on assigned employee covenants alone.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and forum</w:t>
      </w:r>
      <w:r>
        <w:t xml:space="preserve"> — Recommended (SHOULD)</w:t>
      </w:r>
    </w:p>
    <w:p>
      <w:pPr>
        <w:spacing w:before="0" w:after="120"/>
        <w:ind w:left="540"/>
      </w:pPr>
      <w:r>
        <w:t xml:space="preserve">Specify governing law, venue, and dispute process. This checklist analyzes the Kansas framework, so confirm the selections are stated expressly and match where the work and the workforce actually sit; flag any out-of-state selection for counsel rather than treating it as routine boilerplate.</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Boilerplate worth one Kansas-specific glance: because continued employment alone supports a covenant signed after hire, amendments and restatements are easy to paper here — so confirm the merger clause names which covenant instrument survives, or a superseded agreement and its replacement can both appear live in the file. </w:t>
      </w:r>
    </w:p>
    <w:p>
      <w:pPr>
        <w:keepNext/>
        <w:spacing w:before="360" w:after="160"/>
      </w:pPr>
      <w:r>
        <w:rPr>
          <w:b/>
          <w:sz w:val="28"/>
          <w:szCs w:val="28"/>
        </w:rPr>
        <w:t xml:space="preserve">19. Kansas reasonableness and safe-harbor gates (Weber; K.S.A. 50-163)</w:t>
      </w:r>
    </w:p>
    <w:p>
      <w:pPr>
        <w:spacing w:before="0" w:after="120"/>
      </w:pPr>
      <w:r>
        <w:t xml:space="preserve">The five items below exist only on this Kansas page: they implement the four-factor </w:t>
      </w:r>
      <w:r>
        <w:rPr>
          <w:i/>
        </w:rPr>
        <w:t xml:space="preserve">Weber</w:t>
      </w:r>
      <w:r>
        <w:t xml:space="preserve"> reasonableness gate, the boundary the Restraint of Trade Act draws around traditional non-competes, the statutory safe harbors for solicitation and owner covenants, and the trade-secret structure that decides what the confidentiality covenant must carry.</w:t>
      </w:r>
    </w:p>
    <w:p>
      <w:pPr>
        <w:keepNext/>
        <w:spacing w:before="200" w:after="80"/>
      </w:pPr>
      <w:r>
        <w:rPr>
          <w:rFonts w:ascii="Segoe UI Symbol" w:hAnsi="Segoe UI Symbol"/>
        </w:rPr>
        <w:t xml:space="preserve">☐  </w:t>
      </w:r>
      <w:r>
        <w:rPr>
          <w:b/>
        </w:rPr>
        <w:t xml:space="preserve">19.1  </w:t>
      </w:r>
      <w:r>
        <w:rPr>
          <w:b/>
        </w:rPr>
        <w:t xml:space="preserve">Four-factor reasonableness for the non-compete</w:t>
      </w:r>
      <w:r>
        <w:t xml:space="preserve"> — Required (MUST)</w:t>
      </w:r>
    </w:p>
    <w:p>
      <w:pPr>
        <w:spacing w:before="0" w:after="120"/>
        <w:ind w:left="540"/>
      </w:pPr>
      <w:r>
        <w:t xml:space="preserve">Run the non-compete through all four questions: does it protect a legitimate business interest of the employer, does it create an undue burden on the employee, is it injurious to the public welfare, and are the time and territorial limits reasonable. The covenant must also be ancillary to a lawful employment contract — the employer proves each element, and the public-welfare factor is a live screen courts actually apply, not a recital. </w:t>
      </w:r>
    </w:p>
    <w:p>
      <w:pPr>
        <w:keepNext/>
        <w:spacing w:before="200" w:after="80"/>
      </w:pPr>
      <w:r>
        <w:rPr>
          <w:rFonts w:ascii="Segoe UI Symbol" w:hAnsi="Segoe UI Symbol"/>
        </w:rPr>
        <w:t xml:space="preserve">☐  </w:t>
      </w:r>
      <w:r>
        <w:rPr>
          <w:b/>
        </w:rPr>
        <w:t xml:space="preserve">19.2  </w:t>
      </w:r>
      <w:r>
        <w:rPr>
          <w:b/>
        </w:rPr>
        <w:t xml:space="preserve">Statutory presumptions stay off the non-compete</w:t>
      </w:r>
      <w:r>
        <w:t xml:space="preserve"> — Avoid (SHOULD NOT)</w:t>
      </w:r>
    </w:p>
    <w:p>
      <w:pPr>
        <w:spacing w:before="0" w:after="120"/>
        <w:ind w:left="540"/>
      </w:pPr>
      <w:r>
        <w:t xml:space="preserve">Strike any recital claiming the non-compete is conclusively presumed enforceable, or that a court must modify and enforce it, under the Kansas Restraint of Trade Act. The Act excludes covenants not to compete, so its presumptions and its mandatory reformation command belong to the solicitation and owner covenants — the non-compete stands or falls on the common-law reasonableness test. No published Kansas decision has construed the exclusion yet, which is one more reason not to lean on the statute here. </w:t>
      </w:r>
    </w:p>
    <w:p>
      <w:pPr>
        <w:keepNext/>
        <w:spacing w:before="200" w:after="80"/>
      </w:pPr>
      <w:r>
        <w:rPr>
          <w:rFonts w:ascii="Segoe UI Symbol" w:hAnsi="Segoe UI Symbol"/>
        </w:rPr>
        <w:t xml:space="preserve">☐  </w:t>
      </w:r>
      <w:r>
        <w:rPr>
          <w:b/>
        </w:rPr>
        <w:t xml:space="preserve">19.3  </w:t>
      </w:r>
      <w:r>
        <w:rPr>
          <w:b/>
        </w:rPr>
        <w:t xml:space="preserve">Customer non-solicit inside the two-year safe harbor</w:t>
      </w:r>
      <w:r>
        <w:t xml:space="preserve"> — Recommended (SHOULD)</w:t>
      </w:r>
    </w:p>
    <w:p>
      <w:pPr>
        <w:spacing w:before="0" w:after="120"/>
        <w:ind w:left="540"/>
      </w:pPr>
      <w:r>
        <w:t xml:space="preserve">Check one definition and one number: the covenant is limited to material contact customers — customers the employee solicited, produced, or serviced, or about whom the employee held confidential or proprietary information — and it runs no more than two years after the employment ends. Inside those limits the covenant is conclusively presumed enforceable; even then the statute preserves the employee's legal and equitable defenses, so the presumption ends the restraint-of-trade argument, not the case. </w:t>
      </w:r>
    </w:p>
    <w:p>
      <w:pPr>
        <w:keepNext/>
        <w:spacing w:before="200" w:after="80"/>
      </w:pPr>
      <w:r>
        <w:rPr>
          <w:rFonts w:ascii="Segoe UI Symbol" w:hAnsi="Segoe UI Symbol"/>
        </w:rPr>
        <w:t xml:space="preserve">☐  </w:t>
      </w:r>
      <w:r>
        <w:rPr>
          <w:b/>
        </w:rPr>
        <w:t xml:space="preserve">19.4  </w:t>
      </w:r>
      <w:r>
        <w:rPr>
          <w:b/>
        </w:rPr>
        <w:t xml:space="preserve">Owner covenants inside the four-year safe harbor</w:t>
      </w:r>
      <w:r>
        <w:t xml:space="preserve"> — Recommended (SHOULD)</w:t>
      </w:r>
    </w:p>
    <w:p>
      <w:pPr>
        <w:spacing w:before="0" w:after="120"/>
        <w:ind w:left="540"/>
      </w:pPr>
      <w:r>
        <w:t xml:space="preserve">For covenants signed by an owner or seller, use the longer statutory runway: a no-recruit covenant and a material-contact customer non-solicit are each conclusively presumed enforceable for up to four years after the owner's business relationship ends. The owner definition reaches sellers of any part of a business entity's assets or equity, so a buyer protecting purchased goodwill should paper sellers under these provisions — while remembering that a sale-related covenant not to compete stays outside the Act and answers to the common-law reasonableness test. </w:t>
      </w:r>
    </w:p>
    <w:p>
      <w:pPr>
        <w:keepNext/>
        <w:spacing w:before="200" w:after="80"/>
      </w:pPr>
      <w:r>
        <w:rPr>
          <w:rFonts w:ascii="Segoe UI Symbol" w:hAnsi="Segoe UI Symbol"/>
        </w:rPr>
        <w:t xml:space="preserve">☐  </w:t>
      </w:r>
      <w:r>
        <w:rPr>
          <w:b/>
        </w:rPr>
        <w:t xml:space="preserve">19.5  </w:t>
      </w:r>
      <w:r>
        <w:rPr>
          <w:b/>
        </w:rPr>
        <w:t xml:space="preserve">Contract protection for non-secret information</w:t>
      </w:r>
      <w:r>
        <w:t xml:space="preserve"> — Recommended (SHOULD)</w:t>
      </w:r>
    </w:p>
    <w:p>
      <w:pPr>
        <w:spacing w:before="0" w:after="120"/>
        <w:ind w:left="540"/>
      </w:pPr>
      <w:r>
        <w:t xml:space="preserve">Map the information architecture: trade secrets go to the statute, everything else goes to contract. The trade-secret act is the exclusive remedy for misappropriation — tort claims are preempted — but it leaves contractual remedies untouched, so a separate, reasonable confidentiality covenant is the only protection ordinary confidential information gets. An agreement that labels everything a trade secret protects the non-secret half of that inventory with nothing. </w:t>
      </w:r>
    </w:p>
    <w:p>
      <w:pPr>
        <w:spacing w:before="360" w:after="0"/>
      </w:pPr>
      <w:r>
        <w:rPr>
          <w:color w:val="666666"/>
          <w:sz w:val="16"/>
          <w:szCs w:val="16"/>
        </w:rPr>
        <w:t xml:space="preserve">Steven Obiajulu, J.D. edits this review checklist for Kansas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