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Idaho</w:t>
      </w:r>
    </w:p>
    <w:p>
      <w:pPr>
        <w:spacing w:before="0" w:after="120"/>
      </w:pPr>
      <w:r>
        <w:rPr>
          <w:i/>
          <w:color w:val="444444"/>
        </w:rPr>
        <w:t xml:space="preserve">A clause-by-clause reviewer checklist for Idaho employee restrictive covenant agreements — confidentiality, non-solicits, non-competes, and non-disparagement under Idaho Code title 44, chapter 27's key-employee gate, eighteen-month safe harbor, and mandatory judicial modification.</w:t>
      </w:r>
    </w:p>
    <w:p>
      <w:pPr>
        <w:spacing w:before="0" w:after="240"/>
      </w:pPr>
      <w:r>
        <w:rPr>
          <w:color w:val="666666"/>
          <w:sz w:val="18"/>
          <w:szCs w:val="18"/>
        </w:rPr>
        <w:t xml:space="preserve">By Steven Obiajulu, J.D. Last reviewed 2026-06-12. License: CC BY 4.0. https://openagreements.org/checklists/non-compete/us/idaho</w:t>
      </w:r>
    </w:p>
    <w:p>
      <w:pPr>
        <w:keepNext/>
        <w:spacing w:before="360" w:after="160"/>
      </w:pPr>
      <w:r>
        <w:rPr>
          <w:b/>
          <w:sz w:val="28"/>
          <w:szCs w:val="28"/>
        </w:rPr>
        <w:t xml:space="preserve">1. Parties and cover-term identification</w:t>
      </w:r>
    </w:p>
    <w:p>
      <w:pPr>
        <w:spacing w:before="0" w:after="120"/>
      </w:pPr>
      <w:r>
        <w:t xml:space="preserve">Review every item below the way an Idaho court would: one short statutory chapter decides who can be bound at all, presumes eighteen months and the worker's own footprint reasonable, and orders courts to trim an unreasonable covenant rather than void it. For the question-by-question legal analysis behind these items, see the </w:t>
      </w:r>
      <w:r>
        <w:t xml:space="preserve">Idaho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whose business interests the covenant claims to protect. Idaho ties enforceability to the employer's own legitimate business interests and to what that employer invested in the worker — trust, customer exposure, technologies, training — so a covenant running to a parent or affiliate that never employed or engaged the worker starts the key-worker analysis with the wrong party on the page.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restricted period in Idaho runs from termination, not from signing — but the execution date still matters. It fixes when consideration moved, which becomes decisive if the term ever stretches past eighteen months and the employer must show consideration beyond employment itself. An undated agreement makes that showing harder for no reason.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In Idaho the title is evidence for the threshold question: is this worker key? Record the role, the compensation rank if known, and the duties that exposed the worker to inside knowledge or customers. A worker among the employer's highest-paid five percent is presumed key; everyone else needs the functional showing, and the title line is where that record starts.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and treat any clause steering an Idaho worker's dispute out of Idaho with suspicion: a stipulation that keeps a party from enforcing contract rights in Idaho tribunals is void as against Idaho public policy, however the governing-law line reads.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Look for a definition that stands on its own feet, separate from the covenants. Idaho's covenant chapter expressly leaves trade-secret and proprietary-information protection untouched, so a well-drafted confidentiality definition keeps working even if the non-compete is narrowed or fails the key-worker gate — but only if the definition is not wired to the covenant's restricted period or its survival.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Test the trade-secret definition against the Idaho Trade Secrets Act: independent economic value from secrecy, plus reasonable efforts to keep the information secret. A definition that mirrors the statute earns the statute's remedies; a definition that sweeps in everything the company would rather keep quiet earns a fight about whether any of it qualifies.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Idaho's anchor number: a postemployment term of eighteen months or less is presumed reasonable. Confirm the defined period actually computes to eighteen months or less for the direct-competition restraint — and if it runs longer, route the review through the consideration question in the Idaho gates at the end of this checklist.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Idaho presumes the territory reasonable when it tracks where this worker provided services or had a significant presence or influence — not everywhere the employer operates or hopes to. A territory defined by the company's footprint abandons the presumption the statute hands out for free.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influenced during a stated look-back window. Idaho's statutory list of protectable interests names customers, customer lists, customer contacts, and referral sources — but the restraint still cannot exceed what protecting those relationships reasonably requires, and an entire-book-of-business definition reads as protecting the market rather than the relationship.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Idaho statute or appellate decision speaks to employee non-solicits, so the clause has no statutory shelter to lean on — its best defense is staying a modest restraint that does not function as a workforce-wide hiring ban.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and name them from the statute where possible: goodwill, technologies, intellectual property, business plans and processes, customers and referral sources, vendors, financial and marketing information, trade secrets. The list is open-ended, but the connection is not optional — the covenant must protect interests this worker can actually threaten, because that threat is what makes the worker key in the first place.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The statute speaks of employment or a line of business in direct competition with the employer's business — so the definition should describe genuinely competing activity in concrete terms. A definition that captures adjacent or hypothetical competition pushes the covenant past the statutory frame and toward more restraint than reasonably necessary.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ordinary public shares restrains far more than any legitimate business interest requires — gratuitous overbreadth in a state whose statute caps every covenant at the restraint reasonably necessary.</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Idaho has answered this one at the highest level: solicitation means an overt act initiated by the restricted party, seeking something in return — affirmative conduct that entreats, implores, pleads, or petitions for the business. Check that the defined term matches that reading. A definition stretched to cover merely accepting business or ordinary communication converts the clause into a no-dealing restraint Idaho has not blessed, and trades away an interpretation the Supreme Court of Idaho has already endorsed.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the end of a contractor engagement the same way. Idaho's eighteen-month limit counts from the key worker's termination, so an ambiguous trigger leaves the single most important date in the agreement open to argument.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Idaho does not demand a statutory notice ritual, but the timing acknowledgement still earns its place. Continued at-will employment has been held to support a covenant signed mid-employment — yet the moment the direct-competition term exceeds eighteen months, employment alone stops counting and the employer must point to consideration beyond it. The acknowledgement should pin down when the covenant was signed and exactly what moved in exchange.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Idaho statute requires it, but Idaho courts construe employment covenants strictly against the employer — a counsel acknowledgement is cheap evidence that the worker entered the restraint with open eyes rather than under a sign-or-leave ultimatum.</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the law defines the right, federally and under Idaho's own act. A fixed expiry on trade-secret protection gives away the one obligation Idaho lets the employer keep even when the covenant itself is narrowed or fails.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track. A perpetual lid on non-secret information is the kind of overreach that invites an Idaho court to treat the clause as a disguised restraint instead of a confidentiality provision — and strict construction against the employer decides close calls.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Idaho: omit the immunity notice and the employer forfeits exemplary damages and attorney fees in a later trade-secret suit against the worker. Because the trade-secret track is Idaho's most reliable protection when a covenant falters, giving away its best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outrank a subpoena, and the carve-out plus notice procedure keeps the worker from being squeezed between a contract and a court.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Idaho the certification does double duty: the trade-secret claim that survives a narrowed covenant needs evidence of reasonable secrecy efforts and of what the worker took, and a contemporaneous signed certification is the cleanest version of both.</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statutorily uncharted in Idaho — chapter 44-27 and the recent solicitation case law speak to direct competition and customer solicitation, not to recruiting former colleagues. Keep the clause inside the Covered Employees class and the Restricted Period, and define the prohibited conduct as affirmative recruiting, since a restraint with no statutory shelter survives on modesty.</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Enforceable in Idaho, with one bright line drawn in 2025: solicitation is affirmative conduct that seeks the business, and a customer who independently walks over is not solicited. Confirm the clause restrains pursuit rather than acceptance, and that the customer class tracks actual relationships — the clause is at its strongest when it polices exactly the conduct the Supreme Court of Idaho described.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precisely the conduct Idaho's highest court has said is not solicitation. That makes the clause a deliberate risk decision here: Idaho has not resolved whether a no-service restraint enforces as written, gets analyzed as a direct-competition restriction under chapter 44-27, or fails. If it appears, expect it to be tested as a non-compete, key-worker gate and all.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An Idaho non-compete is a statutory creature: it binds only a key employee or key independent contractor, must protect legitimate business interests, and must stay within reasonable duration, geography, and work-scope limits. If the clause appears, route the review straight through the Idaho statutory gates at the end of this checklist — key status first, then the eighteen-month question, then the footprint presumptions — before evaluating any of its other terms. Courts here start with the statutes, not the older common law.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Idaho caps every covenant at the restraint reasonably necessary to protect the employer's legitimate business interests, and a named list is about the strongest tailoring evidence a drafter can manufacture.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remember that an investment restraint must answer the same Idaho question as every other covenant: which legitimate business interest does it protect, and is it the least restraint that protects 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Idaho adds no special shelter for this clause — it is ordinary contract drafting with federal tripwires.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 covenants and patient access</w:t>
      </w:r>
      <w:r>
        <w:t xml:space="preserve"> — Recommended (SHOULD)</w:t>
      </w:r>
    </w:p>
    <w:p>
      <w:pPr>
        <w:spacing w:before="0" w:after="120"/>
        <w:ind w:left="540"/>
      </w:pPr>
      <w:r>
        <w:t xml:space="preserve">Idaho does not ban healthcare non-competes, but it refuses to treat patients as assets: the employer's interest in the patients a provider served is limited by those patients' interests in continuity of care and in choosing their own provider, and a covenant that is otherwise assumed valid can still lose the injunction where enforcement would seriously impair public welfare in the affected community. The dedicated clause should say how departure is handled — patient notification, continuity of care, records access — and an employer planning to enforce should expect to prove community need and provider availability, not just a reasonable radius.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Idaho enforces reasonable covenants against key workers, so an incoming hire genuinely may carry a live restraint from the last job — surfacing it at signing protects the employer from tortious-interference exposure and tells the reviewer which side of an enforcement fight the company may end up on.</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default. A notice clause can support enforcement, but a warning letter built on a covenant that fails the key-worker gate or overshoots eighteen months invites the tortious-interference claim to run the other way. If the clause appears, condition any third-party disclosure on a covenant the employer has actually vetted against the Idaho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Idaho question. No Idaho statute or appellate decision blesses tolling, and the statutory frame cuts against it: a tolling clause that pushes the effective restraint past eighteen months risks losing the duration presumption and triggering the requirement of consideration beyond employment, even though a court retains the power to modify unreasonable terms. Treat tolling language as a live drafting question, not a settled remedy.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keep its limits in view. An Idaho court weighs the public interest before enjoining anyone, and the recital cannot carry that weighing. Note the parallel track: where the real harm is information misuse, the Idaho Trade Secrets Act authorizes an injunction against actual or threatened misappropriation without any covenant at all.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American Rule applies if the agreement is silent, and Idaho's covenant chapter adds no fee regime of its own. If fee-shifting appears, check that it is mutual and prevailing-party based; a one-way employer clause is exactly the sort of term strict construction against the employer makes expensive to defend.</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A covenant the court can trim</w:t>
      </w:r>
      <w:r>
        <w:t xml:space="preserve"> — Recommended (SHOULD)</w:t>
      </w:r>
    </w:p>
    <w:p>
      <w:pPr>
        <w:spacing w:before="0" w:after="120"/>
        <w:ind w:left="540"/>
      </w:pPr>
      <w:r>
        <w:t xml:space="preserve">Idaho turns the usual severability question inside out: the statute orders the court to limit or modify an unreasonable covenant and enforce it as modified, so no savings clause is needed to authorize the rescue — and none can enlarge it. The real review question is whether the covenant gives the court something it can fix, because Idaho courts narrow terms only where it can be done simply and accurately and will not substantially rewrite the contract. An overbroad-but-complete covenant usually comes back trimmed and enforced; a covenant missing its geography, its work scope, or its protectable-interest theory asks the court to draft, not trim, and strict construction against the employer fills the silence the other way.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Idaho the discipline has a statutory payoff: the eighteen-month limit attaches to the direct-competition restraint specifically, and a bundled survival clause is where a quietly longer obligation hides from that audit.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Remember what travels with the covenant in Idaho: the key-worker analysis is built on what this employer invested in this worker, so a successor enforcing an assigned covenant inherits the same threshold showing — assignment moves the covenant without upgrading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Idaho courts stay open to the worker</w:t>
      </w:r>
      <w:r>
        <w:t xml:space="preserve"> — Prohibited (MUST NOT)</w:t>
      </w:r>
    </w:p>
    <w:p>
      <w:pPr>
        <w:spacing w:before="0" w:after="120"/>
        <w:ind w:left="540"/>
      </w:pPr>
      <w:r>
        <w:t xml:space="preserve">The agreement must not include a stipulation that keeps a party from enforcing contract rights in Idaho tribunals, and must not require arbitration outside Idaho — the statute voids such stipulations as against Idaho public policy, and the Supreme Court of Idaho has treated that policy as strong enough to strike forum-selection clauses outright. Choice of law is a separate analysis: a foreign governing-law line is not automatically void, but it cannot do the forum's work. The clause should still state governing law, venue, and process; for an Idaho worker, drafting that keeps Idaho tribunals available is the only version that operates as written.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Idaho-shaped check inside: an amendment that stretches the direct-competition term past eighteen months needs consideration beyond continued employment, so the amendment mechanics should not let a routine refresh extend the restraint without anything new moving to the worker. Confirm the merger clause does not accidentally swallow a separate confidentiality or invention agreement the employer means to keep.</w:t>
      </w:r>
    </w:p>
    <w:p>
      <w:pPr>
        <w:keepNext/>
        <w:spacing w:before="360" w:after="160"/>
      </w:pPr>
      <w:r>
        <w:rPr>
          <w:b/>
          <w:sz w:val="28"/>
          <w:szCs w:val="28"/>
        </w:rPr>
        <w:t xml:space="preserve">19. Idaho statutory gates (Idaho Code §§ 44-2701 to 44-2704)</w:t>
      </w:r>
    </w:p>
    <w:p>
      <w:pPr>
        <w:spacing w:before="0" w:after="120"/>
      </w:pPr>
      <w:r>
        <w:t xml:space="preserve">The five items below exist only on this Idaho page: they implement the chapter 44-27 key-worker gate, the eighteen-month duration rule, the statutory reasonableness presumptions, the sale-of-business deference, and the trade-secret protections that survive independently of the covenant.</w:t>
      </w:r>
    </w:p>
    <w:p>
      <w:pPr>
        <w:keepNext/>
        <w:spacing w:before="200" w:after="80"/>
      </w:pPr>
      <w:r>
        <w:rPr>
          <w:rFonts w:ascii="Segoe UI Symbol" w:hAnsi="Segoe UI Symbol"/>
        </w:rPr>
        <w:t xml:space="preserve">☐  </w:t>
      </w:r>
      <w:r>
        <w:rPr>
          <w:b/>
        </w:rPr>
        <w:t xml:space="preserve">19.1  </w:t>
      </w:r>
      <w:r>
        <w:rPr>
          <w:b/>
        </w:rPr>
        <w:t xml:space="preserve">Key worker only</w:t>
      </w:r>
      <w:r>
        <w:t xml:space="preserve"> — Required (MUST)</w:t>
      </w:r>
    </w:p>
    <w:p>
      <w:pPr>
        <w:spacing w:before="0" w:after="120"/>
        <w:ind w:left="540"/>
      </w:pPr>
      <w:r>
        <w:t xml:space="preserve">Before anything else, establish that the bound worker is key. Idaho enforces a direct-competition covenant only against a key employee or key independent contractor — a worker who, through the employer's investment of time, money, trust, or exposure to customers, technologies, and business plans, gained the inside knowledge, influence, or public standing to genuinely threaten the employer's legitimate business interests. A worker among the highest-paid five percent is presumed key, rebuttably; everyone else needs the functional showing on the record. Independent contractors are expressly inside the regime, so a contractor-facing form does not escape the gate — and a covenant binding a worker who is not key fails at the threshold no matter how modest its terms. </w:t>
      </w:r>
    </w:p>
    <w:p>
      <w:pPr>
        <w:keepNext/>
        <w:spacing w:before="200" w:after="80"/>
      </w:pPr>
      <w:r>
        <w:rPr>
          <w:rFonts w:ascii="Segoe UI Symbol" w:hAnsi="Segoe UI Symbol"/>
        </w:rPr>
        <w:t xml:space="preserve">☐  </w:t>
      </w:r>
      <w:r>
        <w:rPr>
          <w:b/>
        </w:rPr>
        <w:t xml:space="preserve">19.2  </w:t>
      </w:r>
      <w:r>
        <w:rPr>
          <w:b/>
        </w:rPr>
        <w:t xml:space="preserve">Eighteen months unless extra consideration</w:t>
      </w:r>
      <w:r>
        <w:t xml:space="preserve"> — Prohibited (MUST NOT)</w:t>
      </w:r>
    </w:p>
    <w:p>
      <w:pPr>
        <w:spacing w:before="0" w:after="120"/>
        <w:ind w:left="540"/>
      </w:pPr>
      <w:r>
        <w:t xml:space="preserve">Run the duration math both ways. A direct-competition restriction may not exceed eighteen months from termination unless the worker received consideration beyond employment or continued employment — the statute admits no circumstances otherwise. At or under eighteen months, the covenant starts from a rebuttable presumption of reasonable duration, and continued employment alone is adequate consideration. So a term over eighteen months demands two things from the file: proof that something extra actually moved to the worker, and a willingness to litigate duration without the presumption. </w:t>
      </w:r>
    </w:p>
    <w:p>
      <w:pPr>
        <w:keepNext/>
        <w:spacing w:before="200" w:after="80"/>
      </w:pPr>
      <w:r>
        <w:rPr>
          <w:rFonts w:ascii="Segoe UI Symbol" w:hAnsi="Segoe UI Symbol"/>
        </w:rPr>
        <w:t xml:space="preserve">☐  </w:t>
      </w:r>
      <w:r>
        <w:rPr>
          <w:b/>
        </w:rPr>
        <w:t xml:space="preserve">19.3  </w:t>
      </w:r>
      <w:r>
        <w:rPr>
          <w:b/>
        </w:rPr>
        <w:t xml:space="preserve">Territory and duties match the worker's footprint</w:t>
      </w:r>
      <w:r>
        <w:t xml:space="preserve"> — Recommended (SHOULD)</w:t>
      </w:r>
    </w:p>
    <w:p>
      <w:pPr>
        <w:spacing w:before="0" w:after="120"/>
        <w:ind w:left="540"/>
      </w:pPr>
      <w:r>
        <w:t xml:space="preserve">Idaho hands out two more presumptions, and both are tied to the worker rather than the company: geography is presumed reasonable when confined to the areas where the worker provided services or had a significant presence or influence, and work scope is presumed reasonable when limited to the type of employment or line of business the worker actually conducted for the employer. Statewide territories and whole-industry restrictions forfeit both presumptions and litigate bare reasonableness — where the realistic endpoint is a court narrowing the covenant to the work actually performed, as the Supreme Court of Idaho sketched for a surgeon restricted from all medicine rather than his actual specialty. </w:t>
      </w:r>
    </w:p>
    <w:p>
      <w:pPr>
        <w:keepNext/>
        <w:spacing w:before="200" w:after="80"/>
      </w:pPr>
      <w:r>
        <w:rPr>
          <w:rFonts w:ascii="Segoe UI Symbol" w:hAnsi="Segoe UI Symbol"/>
        </w:rPr>
        <w:t xml:space="preserve">☐  </w:t>
      </w:r>
      <w:r>
        <w:rPr>
          <w:b/>
        </w:rPr>
        <w:t xml:space="preserve">19.4  </w:t>
      </w:r>
      <w:r>
        <w:rPr>
          <w:b/>
        </w:rPr>
        <w:t xml:space="preserve">Sale-of-business deference</w:t>
      </w:r>
      <w:r>
        <w:t xml:space="preserve"> — Recommended (SHOULD)</w:t>
      </w:r>
    </w:p>
    <w:p>
      <w:pPr>
        <w:spacing w:before="0" w:after="120"/>
        <w:ind w:left="540"/>
      </w:pPr>
      <w:r>
        <w:t xml:space="preserve">A covenant ancillary to the sale of a business reviews under a friendlier lens: the buyer is usually purchasing the goodwill of the business and is entitled to reasonable protection from the seller's competition, and a five-year, fifty-mile restraint has survived facial attack in that context. The deference is real but earned — tie the restraint to the sold business and its goodwill, and keep duration, geography, and scope defensible on their own, because reasonableness review does not disappear just because the covenant rode a purchase agreement. </w:t>
      </w:r>
    </w:p>
    <w:p>
      <w:pPr>
        <w:keepNext/>
        <w:spacing w:before="200" w:after="80"/>
      </w:pPr>
      <w:r>
        <w:rPr>
          <w:rFonts w:ascii="Segoe UI Symbol" w:hAnsi="Segoe UI Symbol"/>
        </w:rPr>
        <w:t xml:space="preserve">☐  </w:t>
      </w:r>
      <w:r>
        <w:rPr>
          <w:b/>
        </w:rPr>
        <w:t xml:space="preserve">19.5  </w:t>
      </w:r>
      <w:r>
        <w:rPr>
          <w:b/>
        </w:rPr>
        <w:t xml:space="preserve">Trade-secret protection stands alone</w:t>
      </w:r>
      <w:r>
        <w:t xml:space="preserve"> — Recommended (SHOULD)</w:t>
      </w:r>
    </w:p>
    <w:p>
      <w:pPr>
        <w:spacing w:before="0" w:after="120"/>
        <w:ind w:left="540"/>
      </w:pPr>
      <w:r>
        <w:t xml:space="preserve">Check the architecture: confidentiality and trade-secret obligations should stand apart from the covenants, because Idaho's covenant chapter expressly leaves them untouched and the Idaho Trade Secrets Act enjoins actual or threatened misappropriation on its own authority. A covenant that fails the key-worker gate or the duration cap takes nothing else down with it — unless the drafting fused the obligations together, with confidentiality defined by the Restricted Period or buried inside the covenant section. Keep the fallback independent; it is often the remedy that actually issues. </w:t>
      </w:r>
    </w:p>
    <w:p>
      <w:pPr>
        <w:spacing w:before="360" w:after="0"/>
      </w:pPr>
      <w:r>
        <w:rPr>
          <w:color w:val="666666"/>
          <w:sz w:val="16"/>
          <w:szCs w:val="16"/>
        </w:rPr>
        <w:t xml:space="preserve">Steven Obiajulu, J.D. edits this review checklist for Idaho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