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Colorado</w:t>
      </w:r>
    </w:p>
    <w:p>
      <w:pPr>
        <w:spacing w:before="0" w:after="120"/>
      </w:pPr>
      <w:r>
        <w:rPr>
          <w:i/>
          <w:color w:val="444444"/>
        </w:rPr>
        <w:t xml:space="preserve">A clause-by-clause reviewer checklist for Colorado employee restrictive covenant agreements — confidentiality, non-solicits, non-competes, and non-disparagement under C.R.S. § 8-2-113's earnings thresholds, notice rule, and health-care provider ban.</w:t>
      </w:r>
    </w:p>
    <w:p>
      <w:pPr>
        <w:spacing w:before="0" w:after="240"/>
      </w:pPr>
      <w:r>
        <w:rPr>
          <w:color w:val="666666"/>
          <w:sz w:val="18"/>
          <w:szCs w:val="18"/>
        </w:rPr>
        <w:t xml:space="preserve">By Steven Obiajulu, J.D. Last reviewed 2026-06-11. License: CC BY 4.0. https://openagreements.org/checklists/non-compete/us/colorado</w:t>
      </w:r>
    </w:p>
    <w:p>
      <w:pPr>
        <w:keepNext/>
        <w:spacing w:before="360" w:after="160"/>
      </w:pPr>
      <w:r>
        <w:rPr>
          <w:b/>
          <w:sz w:val="28"/>
          <w:szCs w:val="28"/>
        </w:rPr>
        <w:t xml:space="preserve">1. Parties and cover-term identification</w:t>
      </w:r>
    </w:p>
    <w:p>
      <w:pPr>
        <w:spacing w:before="0" w:after="120"/>
      </w:pPr>
      <w:r>
        <w:t xml:space="preserve">Review every item below the way a Colorado court would: the statute voids most labor non-competes outright, gates the survivors on published earnings thresholds, and penalizes an employer for so much as presenting a void covenant. For the question-by-question legal analysis behind these items, see the </w:t>
      </w:r>
      <w:r>
        <w:t xml:space="preserve">Colorado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pays the worker. Colorado tests the covenant against the worker's annualized cash compensation, and the statute's liability runs per worker harmed — so a covenant signed with a parent or affiliate that does not pay the wages muddies the threshold math and the exposure analysis at the same time.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execution date does real work in Colorado: it selects which year's compensation threshold the covenant is tested against, since the controlling figure is the greater of the August 10, 2022 amount or the amount in effect when the parties sign. An undated covenant leaves its own gating number indeterminate.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but do not let it carry the analysis. Colorado retired its old title-based exceptions: what gates a non-compete now is annualized cash compensation against the published threshold, plus a genuine trade-secret interest. Title and duties still matter as evidence of what trade secrets the worker actually touches.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 and treat any clause naming another state's law for a Colorado-based worker as a red flag rather than a fix. The statute makes Colorado law govern enforceability for a worker who primarily resided and worked in Colorado at termination, no matter what the contract says.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the statutory carve-out, not just common sense: a Colorado confidentiality provision survives only if it is reasonable, relevant to the employer's business, and leaves the worker's general training, knowledge, skill, and experience untouched. A definition that sweeps those in pushes the clause outside the safe harbor.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In Colorado the trade-secret definition is the keystone: a permitted non-compete or customer non-solicit must be for the protection of trade secrets and no broader than reasonably necessary to protect them. A vague or bloated definition undermines the only interest that can carry the covenant.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 and in Colorado duration interacts with the threshold test, because the worker must still meet the compensation gate at the time the covenant is enforced. The longer the period runs, the more room there is for the enforcement-time facts to fall out from under it.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protected trade secrets would actually be exploited, not to the company's footprint or ambitions. Colorado's exception extends only as far as reasonably necessary to protect trade secrets, so an everywhere-the-employer-operates territory is an invitation to find the covenant overbroad — and overbreadth here means void, not trimmed.</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whose relationships embody the trade-secret interest — typically those the worker served during a stated look-back window. A Colorado customer non-solicit must clear its own earnings threshold and be no broader than reasonably necessary to protect trade secrets, so an entire-book-of-business definition fails the tailoring half of that test.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The Colorado statute does not expressly address employee non-solicits, so the clause lives or dies on staying a modest restraint rather than a workforce-wide mobility ban a court might treat as a disguised non-compete.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 but know that for Colorado non-competes and customer non-solicits, only one of them counts. The statutory exceptions run exclusively through trade-secret protection, so recitals about goodwill or general customer relationships add color without adding enforceability. The definition should put the claimed trade secrets front and center.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A definition that expands to anything the employer might someday do reads as a restraint on labor rather than a trade-secret shield — and a Colorado court has no obligation to shrink an overreaching definition down to a lawful one.</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restricts how the worker deploys compensation already earned — gratuitous overbreadth in a state whose baseline rule voids restraints on earning a living.</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initiating contact. Colorado's leading appellate decision enforced an employee non-solicit precisely because it was limited to active solicitation — a definition that also captures passively receiving inquiries widens the restraint and weakens that defense.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Every Colorado clock — the restricted period and the enforcement-time threshold test alike — runs from this event, so it cannot afford to be ambiguous about who ended the relationship or how.</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Colorado is forgiving on consideration — continued at-will employment alone supports a post-hire covenant — but unforgiving on timing mechanics: for a current worker, the covenant and any raise or change serving as its consideration cannot take effect until fourteen days after the statutory notice. The acknowledgement should pin down the signing date, the notice date, and what consideration moved.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Cheap insurance, even though no Colorado statute demands it. The separate fourteen-day notice already builds in a window the worker could use to seek advice; a counsel acknowledgement documents that the window was real rather than decorative.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In Colorado the stakes are doubled: trade secrets are the only interest that can support a non-compete or customer non-solicit, so a fixed expiry on trade-secret protection undercuts both the confidentiality clause and the covenants leaning on it.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non-secret information strains the reasonableness requirement Colorado builds into its confidentiality carve-out, and the two-track structure keeps the perpetual obligation where the statute actually supports it.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Colorado: omit the immunity notice and the employer forfeits exemplary damages and attorney fees in a later trade-secret suit against the worker. Given how much weight Colorado covenants place on trade secrets, giving away those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Colorado writes a parallel limit into the statute itself — a confidentiality provision cannot reach information the worker has a right to disclose as legally protected conduct — so the contractual carve-out should at minimum match the statutory one. </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With Colorado pushing employers away from broad covenants and toward genuine trade-secret protection, the certification becomes the cleanest contemporaneous evidence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in Colorado the best-positioned covenant in the family: the statute does not address it, and case law treats a clause limited to active solicitation as a lesser restraint that does not impair the worker's own livelihood. Keep it inside the Covered Employees class and the Restricted Period, and resist drafting it into a de facto hiring ban.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In Colorado this clause is statutorily regulated, not merely scrutinized: it is void unless the worker clears the sixty-percent earnings threshold at signing and at enforcement and the clause is tailored to trade-secret protection. If it appears, run it through the Colorado statutory gates at the end of this checklist before anything else.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receiving business rather than on chasing it. That puts it uncomfortably close to the conduct Colorado's baseline rule voids, and the statute offers no express carve-out for it; treat its inclusion as a deliberate risk decision, not boilerplate.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Colorado non-compete is void by default, and the employer carries the burden of fitting it into the narrow highly-compensated-worker exception. If this clause appears at all, route the review straight through the Colorado statutory gates at the end of this checklist — threshold, trade-secret tether, notice — before evaluating any of its terms.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Colorado rewards that restraint twice over: a named list is strong evidence the covenant is no broader than reasonably necessary, and no court here is obliged to rewrite an overbroad clause into a lawful one.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watch for investment language that shades into restricting how the worker earns compensation, which is the territory Colorado's void rule patrols.</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Colorado's statute separately protects legally protected disclosures.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Colorado's rule plainly: for agreements entered into or renewed on or after August 6, 2025, non-competes and customer non-solicits are void for health-care providers — physicians, advanced practice registered nurses, certified midwives, and dentists — at any compensation level, and a departing provider keeps the right to tell patients about the continuing practice, new contact details, and the patient's freedom to choose. The older workaround of liquidated damages in place of a practice restraint is gone for these providers.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In Colorado it earns extra value on intake: an incoming covenant signed elsewhere may be unenforceable against a worker who now primarily resides and works here, and the representation surfaces that question before the first customer call instead of after 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a Colorado-sized hazard attached: attempting to enforce a void covenant is itself unlawful, so warning a new employer off the worker based on a covenant that fails the statutory gates can convert a routine letter into prohibited conduct. If the clause appears, condition any disclosure on a covenant that actually survives the gates.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Colorado question. No statute or appellate decision blesses tolling, the leading case affirmed a refusal to stretch relief past the stated term, and the worker must still meet the earnings threshold at the moment of enforcement, which gets harder the further enforcement drifts from separation.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remember what it cannot do in Colorado: at the preliminary-injunction stage the employer must still prove the covenant fits a statutory exception, and no recital substitutes for that showing.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but in Colorado the statute already tilts the fee landscape against overreach: a worker harmed by a void covenant can recover actual damages plus a five-thousand-dollar penalty, with private and attorney-general enforcement behind it. A one-way employer fee clause sits awkwardly next to that regime; check that any fee-shifting is mutual and prevailing-party based.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court rescue</w:t>
      </w:r>
      <w:r>
        <w:t xml:space="preserve"> — Avoid (SHOULD NOT)</w:t>
      </w:r>
    </w:p>
    <w:p>
      <w:pPr>
        <w:spacing w:before="0" w:after="120"/>
        <w:ind w:left="540"/>
      </w:pPr>
      <w:r>
        <w:t xml:space="preserve">Read the severability clause as a risk signal, not a safety net. Colorado courts may blue-pencil an overbroad covenant but are never required to, a clause cannot contractually obligate them to do it, and merely presenting a void covenant carries its own statutory penalty — so an agreement that drafts broad and banks on judicial trimming is betting the covenant and a fine on a discretionary rescue. Prefer covenants built in separable tiers, sized to the trade-secret interest from the outset.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Colorado the discipline pays twice: the covenants that survive separation are exactly the ones the statute tests again at enforcement time, and a bundled survival clause is where an unexamined duration hides.</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Note the Colorado wrinkle for the assignee: whoever ends up enforcing still faces the statute as of the enforcement date — threshold, trade-secret tether, and all — so an assignment clause moves the covenant but never upgrades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Colorado law and forum for Colorado workers</w:t>
      </w:r>
      <w:r>
        <w:t xml:space="preserve"> — Prohibited (MUST NOT)</w:t>
      </w:r>
    </w:p>
    <w:p>
      <w:pPr>
        <w:spacing w:before="0" w:after="120"/>
        <w:ind w:left="540"/>
      </w:pPr>
      <w:r>
        <w:t xml:space="preserve">For a worker who primarily resided and worked in Colorado at termination, the agreement must not select another state's law to govern the covenant's enforceability and must not send that question to an out-of-state forum — the statute overrides both choices no matter how the clause is worded. Flag any foreign choice-of-law or venue clause covering a Colorado-based worker: it will not move the analysis, and it signals a form that was never localized. The clause should still state governing law, venue, and process; Colorado law with a Colorado forum is the only combination that operates as written.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Colorado trap inside: the statute reaches covenants entered into or renewed after its effective dates, and any amendment that delivers new compensation as consideration for a covenant restarts the fourteen-day notice clock for a current worker. Review the amendment mechanics so a routine refresh does not quietly re-paper an old covenant into the modern regime without the required notice. </w:t>
      </w:r>
    </w:p>
    <w:p>
      <w:pPr>
        <w:keepNext/>
        <w:spacing w:before="360" w:after="160"/>
      </w:pPr>
      <w:r>
        <w:rPr>
          <w:b/>
          <w:sz w:val="28"/>
          <w:szCs w:val="28"/>
        </w:rPr>
        <w:t xml:space="preserve">19. Colorado statutory gates (C.R.S. § 8-2-113)</w:t>
      </w:r>
    </w:p>
    <w:p>
      <w:pPr>
        <w:spacing w:before="0" w:after="120"/>
      </w:pPr>
      <w:r>
        <w:t xml:space="preserve">The seven items below exist only on this Colorado page: they implement the statute's earnings thresholds, its standalone notice mechanics, the health-care provider ban, and the carve-out limits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Earnings threshold for the non-compete</w:t>
      </w:r>
      <w:r>
        <w:t xml:space="preserve"> — Required (MUST)</w:t>
      </w:r>
    </w:p>
    <w:p>
      <w:pPr>
        <w:spacing w:before="0" w:after="120"/>
        <w:ind w:left="540"/>
      </w:pPr>
      <w:r>
        <w:t xml:space="preserve">A non-compete survives only against a worker whose annualized cash compensation meets the highly compensated worker threshold — at signing and again at enforcement — and only as a trade-secret protection drafted no broader than reasonably necessary. Check the worker's pay against the figure for the execution year (the labor department resets it annually; $130,014 for 2026) and demand that the covenant identify the trade-secret interest it protects. Anything short of both is void, and presenting it is itself unlawful. </w:t>
      </w:r>
    </w:p>
    <w:p>
      <w:pPr>
        <w:keepNext/>
        <w:spacing w:before="200" w:after="80"/>
      </w:pPr>
      <w:r>
        <w:rPr>
          <w:rFonts w:ascii="Segoe UI Symbol" w:hAnsi="Segoe UI Symbol"/>
        </w:rPr>
        <w:t xml:space="preserve">☐  </w:t>
      </w:r>
      <w:r>
        <w:rPr>
          <w:b/>
        </w:rPr>
        <w:t xml:space="preserve">19.2  </w:t>
      </w:r>
      <w:r>
        <w:rPr>
          <w:b/>
        </w:rPr>
        <w:t xml:space="preserve">Earnings threshold for the customer non-solicit</w:t>
      </w:r>
      <w:r>
        <w:t xml:space="preserve"> — Required (MUST)</w:t>
      </w:r>
    </w:p>
    <w:p>
      <w:pPr>
        <w:spacing w:before="0" w:after="120"/>
        <w:ind w:left="540"/>
      </w:pPr>
      <w:r>
        <w:t xml:space="preserve">The customer non-solicit gets its own gate at sixty percent of the highly compensated worker figure — $78,008.40 for 2026 — measured at signing and at enforcement, with the same requirement that the clause be no broader than reasonably necessary to protect trade secrets. Verify the worker's compensation clears the derived number for the execution year before reviewing anything else about the clause. </w:t>
      </w:r>
    </w:p>
    <w:p>
      <w:pPr>
        <w:keepNext/>
        <w:spacing w:before="200" w:after="80"/>
      </w:pPr>
      <w:r>
        <w:rPr>
          <w:rFonts w:ascii="Segoe UI Symbol" w:hAnsi="Segoe UI Symbol"/>
        </w:rPr>
        <w:t xml:space="preserve">☐  </w:t>
      </w:r>
      <w:r>
        <w:rPr>
          <w:b/>
        </w:rPr>
        <w:t xml:space="preserve">19.3  </w:t>
      </w:r>
      <w:r>
        <w:rPr>
          <w:b/>
        </w:rPr>
        <w:t xml:space="preserve">Standalone signed notice on time</w:t>
      </w:r>
      <w:r>
        <w:t xml:space="preserve"> — Required (MUST)</w:t>
      </w:r>
    </w:p>
    <w:p>
      <w:pPr>
        <w:spacing w:before="0" w:after="120"/>
        <w:ind w:left="540"/>
      </w:pPr>
      <w:r>
        <w:t xml:space="preserve">Ask for the notice document itself, not just the agreement: a separate, clear and conspicuous writing in the language the employer and worker use about performance, identifying the covenant and signed by the worker — delivered before a candidate accepts the offer, or at least fourteen days before the covenant or its consideration takes effect for a current worker. A covenant that fits an exception still dies on a defective notice, which makes this the single most checkable item on the page. </w:t>
      </w:r>
    </w:p>
    <w:p>
      <w:pPr>
        <w:keepNext/>
        <w:spacing w:before="200" w:after="80"/>
      </w:pPr>
      <w:r>
        <w:rPr>
          <w:rFonts w:ascii="Segoe UI Symbol" w:hAnsi="Segoe UI Symbol"/>
        </w:rPr>
        <w:t xml:space="preserve">☐  </w:t>
      </w:r>
      <w:r>
        <w:rPr>
          <w:b/>
        </w:rPr>
        <w:t xml:space="preserve">19.4  </w:t>
      </w:r>
      <w:r>
        <w:rPr>
          <w:b/>
        </w:rPr>
        <w:t xml:space="preserve">No covenants for health-care providers</w:t>
      </w:r>
      <w:r>
        <w:t xml:space="preserve"> — Prohibited (MUST NOT)</w:t>
      </w:r>
    </w:p>
    <w:p>
      <w:pPr>
        <w:spacing w:before="0" w:after="120"/>
        <w:ind w:left="540"/>
      </w:pPr>
      <w:r>
        <w:t xml:space="preserve">For agreements entered into or renewed on or after August 6, 2025, the agreement must not impose a non-compete or customer non-solicit on a health-care provider — the earnings exception is closed for covenants restricting the practice of medicine, advanced practice registered nursing, or dentistry, and the protected class covers physicians, advanced practice registered nurses, certified midwives, and dentists. No compensation level buys the covenant back, and clauses muzzling the provider's patient communications are separately void. </w:t>
      </w:r>
    </w:p>
    <w:p>
      <w:pPr>
        <w:keepNext/>
        <w:spacing w:before="200" w:after="80"/>
      </w:pPr>
      <w:r>
        <w:rPr>
          <w:rFonts w:ascii="Segoe UI Symbol" w:hAnsi="Segoe UI Symbol"/>
        </w:rPr>
        <w:t xml:space="preserve">☐  </w:t>
      </w:r>
      <w:r>
        <w:rPr>
          <w:b/>
        </w:rPr>
        <w:t xml:space="preserve">19.5  </w:t>
      </w:r>
      <w:r>
        <w:rPr>
          <w:b/>
        </w:rPr>
        <w:t xml:space="preserve">Minority-owner duration cap</w:t>
      </w:r>
      <w:r>
        <w:t xml:space="preserve"> — Required (MUST)</w:t>
      </w:r>
    </w:p>
    <w:p>
      <w:pPr>
        <w:spacing w:before="0" w:after="120"/>
        <w:ind w:left="540"/>
      </w:pPr>
      <w:r>
        <w:t xml:space="preserve">The sale-of-business exception still works, but for a minority owner who received the stake as equity compensation or for services, run the arithmetic: the covenant's maximum duration in years equals the total sale consideration the owner received divided by the owner's average annualized cash compensation over the prior two years or their tenure, whichever is shorter. A flat multi-year term copied from a majority-seller form will routinely blow past the cap — an owner who took $50,000 from the sale against $100,000 average pay can be held for at most six months. </w:t>
      </w:r>
    </w:p>
    <w:p>
      <w:pPr>
        <w:keepNext/>
        <w:spacing w:before="200" w:after="80"/>
      </w:pPr>
      <w:r>
        <w:rPr>
          <w:rFonts w:ascii="Segoe UI Symbol" w:hAnsi="Segoe UI Symbol"/>
        </w:rPr>
        <w:t xml:space="preserve">☐  </w:t>
      </w:r>
      <w:r>
        <w:rPr>
          <w:b/>
        </w:rPr>
        <w:t xml:space="preserve">19.6  </w:t>
      </w:r>
      <w:r>
        <w:rPr>
          <w:b/>
        </w:rPr>
        <w:t xml:space="preserve">Training repayment within statutory limits</w:t>
      </w:r>
      <w:r>
        <w:t xml:space="preserve"> — Required (MUST)</w:t>
      </w:r>
    </w:p>
    <w:p>
      <w:pPr>
        <w:spacing w:before="0" w:after="120"/>
        <w:ind w:left="540"/>
      </w:pPr>
      <w:r>
        <w:t xml:space="preserve">Audit any repayment provision against all three statutory limits: the training must be distinct from normal on-the-job training, the recoverable amount is capped at reasonable actual costs and must decline over the two years after the training, and the provision must satisfy the attorney general's transferability rules. Flat repayment amounts and ordinary-onboarding clawbacks fail the carve-out — and an unlawful recovery attempt exposes the employer to treble recovery by the attorney general. </w:t>
      </w:r>
    </w:p>
    <w:p>
      <w:pPr>
        <w:keepNext/>
        <w:spacing w:before="200" w:after="80"/>
      </w:pPr>
      <w:r>
        <w:rPr>
          <w:rFonts w:ascii="Segoe UI Symbol" w:hAnsi="Segoe UI Symbol"/>
        </w:rPr>
        <w:t xml:space="preserve">☐  </w:t>
      </w:r>
      <w:r>
        <w:rPr>
          <w:b/>
        </w:rPr>
        <w:t xml:space="preserve">19.7  </w:t>
      </w:r>
      <w:r>
        <w:rPr>
          <w:b/>
        </w:rPr>
        <w:t xml:space="preserve">Confidentiality leaves general skills free</w:t>
      </w:r>
      <w:r>
        <w:t xml:space="preserve"> — Prohibited (MUST NOT)</w:t>
      </w:r>
    </w:p>
    <w:p>
      <w:pPr>
        <w:spacing w:before="0" w:after="120"/>
        <w:ind w:left="540"/>
      </w:pPr>
      <w:r>
        <w:t xml:space="preserve">The confidentiality clause must not reach the worker's general training, knowledge, skill, or experience, information readily ascertainable to the public, or anything the worker has a legal right to disclose. Those limits are written into the carve-out itself, so a clause that crosses them is not merely aggressive — it falls outside the statute's protection and risks being treated as a void restraint, with the presentation penalty in play. </w:t>
      </w:r>
    </w:p>
    <w:p>
      <w:pPr>
        <w:spacing w:before="360" w:after="0"/>
      </w:pPr>
      <w:r>
        <w:rPr>
          <w:color w:val="666666"/>
          <w:sz w:val="16"/>
          <w:szCs w:val="16"/>
        </w:rPr>
        <w:t xml:space="preserve">Steven Obiajulu, J.D. edits this review checklist for Colorado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