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California</w:t>
      </w:r>
    </w:p>
    <w:p>
      <w:pPr>
        <w:spacing w:before="0" w:after="120"/>
      </w:pPr>
      <w:r>
        <w:rPr>
          <w:i/>
          <w:color w:val="444444"/>
        </w:rPr>
        <w:t xml:space="preserve">A clause-by-clause reviewer checklist for California employee restrictive covenant agreements — Bus. &amp; Prof. Code § 16600 voids non-competes and customer non-solicits by default, so the review screens for void clauses that create employer liability and checks the surviving confidentiality suite.</w:t>
      </w:r>
    </w:p>
    <w:p>
      <w:pPr>
        <w:spacing w:before="0" w:after="240"/>
      </w:pPr>
      <w:r>
        <w:rPr>
          <w:color w:val="666666"/>
          <w:sz w:val="18"/>
          <w:szCs w:val="18"/>
        </w:rPr>
        <w:t xml:space="preserve">By Steven Obiajulu, J.D. Last reviewed 2026-06-11. License: CC BY 4.0. https://openagreements.org/checklists/non-compete/us/california</w:t>
      </w:r>
    </w:p>
    <w:p>
      <w:pPr>
        <w:keepNext/>
        <w:spacing w:before="360" w:after="160"/>
      </w:pPr>
      <w:r>
        <w:rPr>
          <w:b/>
          <w:sz w:val="28"/>
          <w:szCs w:val="28"/>
        </w:rPr>
        <w:t xml:space="preserve">1. Parties and cover-term identification</w:t>
      </w:r>
    </w:p>
    <w:p>
      <w:pPr>
        <w:spacing w:before="0" w:after="120"/>
      </w:pPr>
      <w:r>
        <w:t xml:space="preserve">This page reviews a California agreement differently from a tailoring-state checklist: the first job is exposure screening — finding any clause that is a void restraint under Business and Professions Code section 16600, because since 2024 the clause itself creates employer liability — and the second is checking the covenant suite that lawfully survives, which in California is confidentiality, trade-secret protection, and boilerplate. For the question-by-question legal analysis behind these items, see the </w:t>
      </w:r>
      <w:r>
        <w:t xml:space="preserve">California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which entity is actually a party, because in California the entity question decides which legal box the covenant sits in: a covenant with the employer in an employment agreement is tested under the void-by-default rule, a covenant with a buyer in a purchase agreement can claim the sale-of-business exception, and a management entity controlled by private equity faces its own healthcare-specific prohibition. A mismatched or ambiguous party line muddies all three analyses.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matters less here than in most states for the core question — a void restraint is unenforceable regardless of where and when the contract was signed — but it still selects the modern statutory layers: Labor Code section 925 reaches contracts entered into, modified, or extended on or after January 1, 2017, and the stay-or-pay and healthcare rules attach to contracts under the regimes taking effect January 1, 2026. An undated instrument leaves those gates unanchored.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do not look for an executive exception — California has none, and no level of seniority or pay buys back a void restraint. The title still earns its place in review: it flags licensed health-care providers (who get extra statutory protection), and it frames what trade secrets the worker plausibly touches, which is the interest the surviving confidentiality suite actually protects.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read any selection of another state's law for a California-based employee as a red flag, not a workaround. Labor Code section 925 lets an employee who primarily resides and works in California void a clause that strips California law or forces litigation elsewhere, unless the employee negotiated it with their own lawyer.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California this definition carries the whole protective program, so test its breadth twice: once for whether it actually captures the sensitive material, and once for whether it captures too much. A definition that locks up the employee's general skills, industry knowledge, or everything learned on the job operates as a non-compete in disguise — and a court will void it as one.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concretely, because trade-secret law is the enforcement tool California actually hands the employer: an injunction against actual or threatened misappropriation, no covenant required. Precision pays off in litigation too — before discovery, the employer must identify the claimed secret with reasonable particularity, and a contract definition written at that level of specificity is a head start.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umbrella defined term has a shorter reach in California — the void covenants never get a clock — but it still disciplines whatever survives: a finite confidentiality term for non-secret information and, if the parties take the risk, an employee non-solicit. Confirm every surviving duration references one auditable definition instead of running on its own.</w:t>
      </w:r>
    </w:p>
    <w:p>
      <w:pPr>
        <w:keepNext/>
        <w:spacing w:before="200" w:after="80"/>
      </w:pPr>
      <w:r>
        <w:rPr>
          <w:rFonts w:ascii="Segoe UI Symbol" w:hAnsi="Segoe UI Symbol"/>
        </w:rPr>
        <w:t xml:space="preserve">☐  </w:t>
      </w:r>
      <w:r>
        <w:rPr>
          <w:b/>
        </w:rPr>
        <w:t xml:space="preserve">2.4  </w:t>
      </w:r>
      <w:r>
        <w:rPr>
          <w:b/>
        </w:rPr>
        <w:t xml:space="preserve">Covered employees</w:t>
      </w:r>
      <w:r>
        <w:t xml:space="preserve"> — Recommended (SHOULD)</w:t>
      </w:r>
    </w:p>
    <w:p>
      <w:pPr>
        <w:spacing w:before="0" w:after="120"/>
        <w:ind w:left="540"/>
      </w:pPr>
      <w:r>
        <w:t xml:space="preserve">If an employee non-solicit appears at all (see the covenant section below — it is presumptively risky here), the Covered Employees class is its best defense: colleagues the departing worker actually worked with or supervised during a stated look-back window, nothing broader. A class that sweeps in the whole workforce reads as a restraint on the recruiting profession itself — exactly what doomed the clause in the leading modern case. </w:t>
      </w:r>
    </w:p>
    <w:p>
      <w:pPr>
        <w:keepNext/>
        <w:spacing w:before="200" w:after="80"/>
      </w:pPr>
      <w:r>
        <w:rPr>
          <w:rFonts w:ascii="Segoe UI Symbol" w:hAnsi="Segoe UI Symbol"/>
        </w:rPr>
        <w:t xml:space="preserve">☐  </w:t>
      </w:r>
      <w:r>
        <w:rPr>
          <w:b/>
        </w:rPr>
        <w:t xml:space="preserve">2.5  </w:t>
      </w:r>
      <w:r>
        <w:rPr>
          <w:b/>
        </w:rPr>
        <w:t xml:space="preserve">Protected business interests</w:t>
      </w:r>
      <w:r>
        <w:t xml:space="preserve"> — Recommended (SHOULD)</w:t>
      </w:r>
    </w:p>
    <w:p>
      <w:pPr>
        <w:spacing w:before="0" w:after="120"/>
        <w:ind w:left="540"/>
      </w:pPr>
      <w:r>
        <w:t xml:space="preserve">Name the interests, but understand what they can and cannot do in California: recitals about goodwill, customer relationships, or investment in training do not make a restraint lawful, because the statute voids restraints on lawful work without weighing the employer's interests. What the definition should foreground is the trade-secret and confidential-information interest — the one interest the surviving suite genuinely protects. </w:t>
      </w:r>
    </w:p>
    <w:p>
      <w:pPr>
        <w:keepNext/>
        <w:spacing w:before="200" w:after="80"/>
      </w:pPr>
      <w:r>
        <w:rPr>
          <w:rFonts w:ascii="Segoe UI Symbol" w:hAnsi="Segoe UI Symbol"/>
        </w:rPr>
        <w:t xml:space="preserve">☐  </w:t>
      </w:r>
      <w:r>
        <w:rPr>
          <w:b/>
        </w:rPr>
        <w:t xml:space="preserve">2.6  </w:t>
      </w:r>
      <w:r>
        <w:rPr>
          <w:b/>
        </w:rPr>
        <w:t xml:space="preserve">Small public-stock carve-out</w:t>
      </w:r>
      <w:r>
        <w:t xml:space="preserve"> — Recommended (SHOULD)</w:t>
      </w:r>
    </w:p>
    <w:p>
      <w:pPr>
        <w:spacing w:before="0" w:after="120"/>
        <w:ind w:left="540"/>
      </w:pPr>
      <w:r>
        <w:t xml:space="preserve">Where any clause restricts owning or investing in competitors, check for a passive-holdings carve-out below a stated threshold. In California the stakes are sharper than overbreadth: a restriction that reaches ordinary public-company shares restrains participation in lawful business, and the statute voids restraints of that kind to that extent rather than trimming them. </w:t>
      </w:r>
    </w:p>
    <w:p>
      <w:pPr>
        <w:keepNext/>
        <w:spacing w:before="200" w:after="80"/>
      </w:pPr>
      <w:r>
        <w:rPr>
          <w:rFonts w:ascii="Segoe UI Symbol" w:hAnsi="Segoe UI Symbol"/>
        </w:rPr>
        <w:t xml:space="preserve">☐  </w:t>
      </w:r>
      <w:r>
        <w:rPr>
          <w:b/>
        </w:rPr>
        <w:t xml:space="preserve">2.7  </w:t>
      </w:r>
      <w:r>
        <w:rPr>
          <w:b/>
        </w:rPr>
        <w:t xml:space="preserve">Passive public holdings</w:t>
      </w:r>
      <w:r>
        <w:t xml:space="preserve"> — Optional (MAY)</w:t>
      </w:r>
    </w:p>
    <w:p>
      <w:pPr>
        <w:spacing w:before="0" w:after="120"/>
        <w:ind w:left="540"/>
      </w:pPr>
      <w:r>
        <w:t xml:space="preserve">Optional drafting machinery — the carve-out can live inline without a capitalized term. Where the defined term does appear, confirm its ownership threshold matches the operative carve-out language it supports.</w:t>
      </w:r>
    </w:p>
    <w:p>
      <w:pPr>
        <w:keepNext/>
        <w:spacing w:before="200" w:after="80"/>
      </w:pPr>
      <w:r>
        <w:rPr>
          <w:rFonts w:ascii="Segoe UI Symbol" w:hAnsi="Segoe UI Symbol"/>
        </w:rPr>
        <w:t xml:space="preserve">☐  </w:t>
      </w:r>
      <w:r>
        <w:rPr>
          <w:b/>
        </w:rPr>
        <w:t xml:space="preserve">2.8  </w:t>
      </w:r>
      <w:r>
        <w:rPr>
          <w:b/>
        </w:rPr>
        <w:t xml:space="preserve">What counts as soliciting</w:t>
      </w:r>
      <w:r>
        <w:t xml:space="preserve"> — Recommended (SHOULD)</w:t>
      </w:r>
    </w:p>
    <w:p>
      <w:pPr>
        <w:spacing w:before="0" w:after="120"/>
        <w:ind w:left="540"/>
      </w:pPr>
      <w:r>
        <w:t xml:space="preserve">Confine the term to initiating contact. The older California decision that upheld an anti-raiding clause treated it as only a slight restraint precisely because it left people free to respond to opportunities on their own initiative; a definition that also captures accepting an unsolicited application or inquiry widens the clause toward the restraint-on-a-profession territory where the modern case law voids it. </w:t>
      </w:r>
    </w:p>
    <w:p>
      <w:pPr>
        <w:keepNext/>
        <w:spacing w:before="200" w:after="80"/>
      </w:pPr>
      <w:r>
        <w:rPr>
          <w:rFonts w:ascii="Segoe UI Symbol" w:hAnsi="Segoe UI Symbol"/>
        </w:rPr>
        <w:t xml:space="preserve">☐  </w:t>
      </w:r>
      <w:r>
        <w:rPr>
          <w:b/>
        </w:rPr>
        <w:t xml:space="preserve">2.9  </w:t>
      </w:r>
      <w:r>
        <w:rPr>
          <w:b/>
        </w:rPr>
        <w:t xml:space="preserve">Termination of employment</w:t>
      </w:r>
      <w:r>
        <w:t xml:space="preserve"> — Recommended (SHOULD)</w:t>
      </w:r>
    </w:p>
    <w:p>
      <w:pPr>
        <w:spacing w:before="0" w:after="120"/>
        <w:ind w:left="540"/>
      </w:pPr>
      <w:r>
        <w:t xml:space="preserve">Verify the trigger treats resignation, dismissal, and the end of a fixed term identically. The clocks that survive in California — the finite confidentiality term and any retained non-solicit — all start at this event, and an ambiguous trigger leaves the only enforceable durations on the page unanchored.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California imposes no covenant-specific consideration or advance-notice ritual for the surviving suite, so this acknowledgement works as evidence rather than as a statutory gate. It still earns review: the signing date establishes whether the contract falls under the post-2017 choice-of-law protections — which also catch later modifications and extensions — and whether the 2026 stay-or-pay regime reaches it.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In California this acknowledgement does unusual, double-edged work. Generic procedural-fairness value aside, the statute carves out forum and choice-of-law clauses that the employee negotiated while individually represented by counsel — so a recital of mere </w:t>
      </w:r>
      <w:r>
        <w:rPr>
          <w:i/>
        </w:rPr>
        <w:t xml:space="preserve">opportunity</w:t>
      </w:r>
      <w:r>
        <w:t xml:space="preserve"> to consult does not trigger that exception, and a recital of actual individual representation in negotiation changes what the governing-law clause can lawfully do. Read it carefully and confirm it matches what really happened.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Let the trade-secret obligation run as long as secrecy does — federal law defines the right that way, and in California this clause is not a supplement to the covenant program, it </w:t>
      </w:r>
      <w:r>
        <w:rPr>
          <w:i/>
        </w:rPr>
        <w:t xml:space="preserve">is</w:t>
      </w:r>
      <w:r>
        <w:t xml:space="preserve"> the program. With every competition restraint off the table, an employer that contractually expires its own trade-secret protection on a fixed date has surrendered its principal remaining remedy for nothing.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non-secret confidential information its own finite term. In California a perpetual lid on everything the worker ever learned is more than untidy drafting — paired with a broad definition, it is the pattern courts have condemned as a non-compete in disguise, voiding the provisions outright. The two-track structure keeps perpetual protection where the law supports it and a sunset everywhere else.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in California with extra bite: because trade-secret litigation is the main enforcement channel left to a California employer, forfeiting exemplary damages and attorney fees by omitting the immunity notice gives up remedies the employer will actually want. Confirm the notice is present in any agreement governing confidential information.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Wages, hours, and working conditions must remain discussable whatever the confidentiality and non-disparagement clauses say — federal labor law protects that speech in every state, and the Board strikes clauses broad enough to chill it. A California reviewer should treat this carve-out as one more place where overbroad language converts a routine clause into a legal violation.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contract overrides compelled process, and in a state whose courts already read protective language against the employer, an agreement that pretends otherwise invites the broader overbreadth attack.</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 California employer protects itself through trade-secret claims rather than competition restraints, the signed certification is often the single best exhibit it will have — contemporaneous proof of what the departing worker represented about devices, files, and copies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 (probably void)</w:t>
      </w:r>
      <w:r>
        <w:t xml:space="preserve"> — Avoid (SHOULD NOT)</w:t>
      </w:r>
    </w:p>
    <w:p>
      <w:pPr>
        <w:spacing w:before="0" w:after="120"/>
        <w:ind w:left="540"/>
      </w:pPr>
      <w:r>
        <w:t xml:space="preserve">The agreement should not include an employee non-solicit or no-hire clause for a California employee. The older authority that tolerated anti-raiding clauses as a slight restraint has been openly questioned by the modern appellate decision voiding an employee non-solicit as a restraint on the workers' profession, federal courts have largely followed the modern view, and the state supreme court has not resolved the split. If the parties keep the clause anyway, it must be the narrow kind — active solicitation only, scoped to actual colleagues — and everyone should understand a court will more likely void it than enforce it, with the statutory exposure that now follows a void restraint. </w:t>
      </w:r>
    </w:p>
    <w:p>
      <w:pPr>
        <w:keepNext/>
        <w:spacing w:before="200" w:after="80"/>
      </w:pPr>
      <w:r>
        <w:rPr>
          <w:rFonts w:ascii="Segoe UI Symbol" w:hAnsi="Segoe UI Symbol"/>
        </w:rPr>
        <w:t xml:space="preserve">☐  </w:t>
      </w:r>
      <w:r>
        <w:rPr>
          <w:b/>
        </w:rPr>
        <w:t xml:space="preserve">7.2  </w:t>
      </w:r>
      <w:r>
        <w:rPr>
          <w:b/>
        </w:rPr>
        <w:t xml:space="preserve">Customer non-solicit (void here)</w:t>
      </w:r>
      <w:r>
        <w:t xml:space="preserve"> — Prohibited (MUST NOT)</w:t>
      </w:r>
    </w:p>
    <w:p>
      <w:pPr>
        <w:spacing w:before="0" w:after="120"/>
        <w:ind w:left="540"/>
      </w:pPr>
      <w:r>
        <w:t xml:space="preserve">The agreement must not restrict the former employee from soliciting or serving customers. California analyzes that clause as the same restraint of trade the statute voids — the state supreme court struck a customer non-solicitation covenant and refused any narrow-restraint analysis, so trimming the clause to key accounts or a short window does not save it. Finding it in an employment agreement is the finding: since 2024, including it is unlawful and attempting to enforce it is a civil violation. </w:t>
      </w:r>
    </w:p>
    <w:p>
      <w:pPr>
        <w:keepNext/>
        <w:spacing w:before="200" w:after="80"/>
      </w:pPr>
      <w:r>
        <w:rPr>
          <w:rFonts w:ascii="Segoe UI Symbol" w:hAnsi="Segoe UI Symbol"/>
        </w:rPr>
        <w:t xml:space="preserve">☐  </w:t>
      </w:r>
      <w:r>
        <w:rPr>
          <w:b/>
        </w:rPr>
        <w:t xml:space="preserve">7.3  </w:t>
      </w:r>
      <w:r>
        <w:rPr>
          <w:b/>
        </w:rPr>
        <w:t xml:space="preserve">Non-dealing covenant (void here)</w:t>
      </w:r>
      <w:r>
        <w:t xml:space="preserve"> — Prohibited (MUST NOT)</w:t>
      </w:r>
    </w:p>
    <w:p>
      <w:pPr>
        <w:spacing w:before="0" w:after="120"/>
        <w:ind w:left="540"/>
      </w:pPr>
      <w:r>
        <w:t xml:space="preserve">The agreement must not bar the former employee from doing business with covered customers — a non-dealing clause forecloses even relationships the customer initiates, which is more restraint than a non-solicit, not less. California does not grade restraints on a curve; a clause that takes any part of a lawful trade off the table for the worker is void to that extent, and a buyer of customer relationships gets no help from drafting it softly. The lawful protection for the customer base is the trade-secret and confidentiality program above. </w:t>
      </w:r>
    </w:p>
    <w:p>
      <w:pPr>
        <w:keepNext/>
        <w:spacing w:before="200" w:after="80"/>
      </w:pPr>
      <w:r>
        <w:rPr>
          <w:rFonts w:ascii="Segoe UI Symbol" w:hAnsi="Segoe UI Symbol"/>
        </w:rPr>
        <w:t xml:space="preserve">☐  </w:t>
      </w:r>
      <w:r>
        <w:rPr>
          <w:b/>
        </w:rPr>
        <w:t xml:space="preserve">7.4  </w:t>
      </w:r>
      <w:r>
        <w:rPr>
          <w:b/>
        </w:rPr>
        <w:t xml:space="preserve">Non-compete covenant (void and unlawful)</w:t>
      </w:r>
      <w:r>
        <w:t xml:space="preserve"> — Prohibited (MUST NOT)</w:t>
      </w:r>
    </w:p>
    <w:p>
      <w:pPr>
        <w:spacing w:before="0" w:after="120"/>
        <w:ind w:left="540"/>
      </w:pPr>
      <w:r>
        <w:t xml:space="preserve">The agreement must not contain an employee non-compete. The statute voids any noncompete in an employment context </w:t>
      </w:r>
      <w:r>
        <w:rPr>
          <w:i/>
        </w:rPr>
        <w:t xml:space="preserve">no matter how narrowly tailored</w:t>
      </w:r>
      <w:r>
        <w:t xml:space="preserve"> unless a statutory exception applies, so there is no duration, geography, or competitor list to evaluate — the clause's presence is itself the defect. And presence now costs money: including the clause is unlawful, entering into or attempting to enforce it is a civil violation with a private right of action and prevailing-worker fees. If this clause appears, route the review through the California statutory gates at the end of this checklist — the only live questions are the sale-of-business pathway and the cleanup obligations.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anywhere, and in California a clause to read with suspicion rather than tailor: a restriction on investing in competitors shades into restraining participation in lawful business, the territory the statute voids to that extent. If the clause appears, confirm the passive-holdings carve-out is intact and the restriction reaches no further than active, operational involvement — and treat anything broader as a candidate for the same void-restraint analysis as the covenants above.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Acceptable to include with a stated term, but in a state that polices overbreadth this aggressively, the carve-outs are the clause: truthful testimony, statements to government agencies, and protected workplace speech have to sit outside its reach, and federal labor law strikes versions broad enough to swallow them regardless of the governing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For physicians and dental providers the general ban already does most of the work, but the dedicated clause should also reflect the 2026 healthcare layer: where private equity or a hedge fund is involved with the practice, a management or asset-sale contract cannot bar a provider from competing after leaving, and a preserved sale-of-business covenant is not allowed to function as an employee non-compete against the provider. An agreement in a sponsor-backed practice that is silent on this line was drafted for a different regime.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For a California hire it doubles as an intake screen for imported covenants: a restraint the worker signed in another state is unenforceable here if it is void under this chapter, no matter where or when it was signed — but the prior employer may still sue somewhere friendlier, so the representation surfaces the fight early instead of mid-onboarding. </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Optional everywhere, and in California close to radioactive: warning a new employer off a worker based on a covenant the statute voids reads as an attempt to enforce a void contract, which is itself a civil violation with the worker holding a private right of action. If a notice clause survives review at all, it should cover only obligations that are actually lawful here — confidentiality and trade-secret duties — and never the void covenant family. </w:t>
      </w:r>
    </w:p>
    <w:p>
      <w:pPr>
        <w:keepNext/>
        <w:spacing w:before="360" w:after="160"/>
      </w:pPr>
      <w:r>
        <w:rPr>
          <w:b/>
          <w:sz w:val="28"/>
          <w:szCs w:val="28"/>
        </w:rPr>
        <w:t xml:space="preserve">12. Remedies</w:t>
      </w:r>
    </w:p>
    <w:p>
      <w:pPr>
        <w:keepNext/>
        <w:spacing w:before="200" w:after="80"/>
      </w:pPr>
      <w:r>
        <w:rPr>
          <w:rFonts w:ascii="Segoe UI Symbol" w:hAnsi="Segoe UI Symbol"/>
        </w:rPr>
        <w:t xml:space="preserve">☐  </w:t>
      </w:r>
      <w:r>
        <w:rPr>
          <w:b/>
        </w:rPr>
        <w:t xml:space="preserve">12.1  </w:t>
      </w:r>
      <w:r>
        <w:rPr>
          <w:b/>
        </w:rPr>
        <w:t xml:space="preserve">Injunction availability</w:t>
      </w:r>
      <w:r>
        <w:t xml:space="preserve"> — Recommended (SHOULD)</w:t>
      </w:r>
    </w:p>
    <w:p>
      <w:pPr>
        <w:spacing w:before="0" w:after="120"/>
        <w:ind w:left="540"/>
      </w:pPr>
      <w:r>
        <w:t xml:space="preserve">The irreparable-harm acknowledgement is fine to keep, but know what it attaches to in California: the injunction an employer can realistically get protects trade secrets — actual or threatened misappropriation may be enjoined — not compliance with a competition restraint. A remedies clause that recites irreparable harm from </w:t>
      </w:r>
      <w:r>
        <w:rPr>
          <w:i/>
        </w:rPr>
        <w:t xml:space="preserve">competition</w:t>
      </w:r>
      <w:r>
        <w:t xml:space="preserve"> is scaffolding for a covenant the statute voids; one keyed to misuse of confidential information supports the claim the employer can actually bring. </w:t>
      </w:r>
    </w:p>
    <w:p>
      <w:pPr>
        <w:keepNext/>
        <w:spacing w:before="200" w:after="80"/>
      </w:pPr>
      <w:r>
        <w:rPr>
          <w:rFonts w:ascii="Segoe UI Symbol" w:hAnsi="Segoe UI Symbol"/>
        </w:rPr>
        <w:t xml:space="preserve">☐  </w:t>
      </w:r>
      <w:r>
        <w:rPr>
          <w:b/>
        </w:rPr>
        <w:t xml:space="preserve">12.2  </w:t>
      </w:r>
      <w:r>
        <w:rPr>
          <w:b/>
        </w:rPr>
        <w:t xml:space="preserve">Attorney fees and costs</w:t>
      </w:r>
      <w:r>
        <w:t xml:space="preserve"> — Optional (MAY)</w:t>
      </w:r>
    </w:p>
    <w:p>
      <w:pPr>
        <w:spacing w:before="0" w:after="120"/>
        <w:ind w:left="540"/>
      </w:pPr>
      <w:r>
        <w:t xml:space="preserve">A commercial choice — but notice that California has already placed a thumb on the scale: a worker who prevails against a void restraint recovers reasonable attorney fees and costs by statute, with no reciprocal right for the employer. A one-way employer fee clause cannot offset that, and an aggressive one invites the broader unconscionability and overreach narrative. Mutual, prevailing-party drafting is the defensible shape. </w:t>
      </w:r>
    </w:p>
    <w:p>
      <w:pPr>
        <w:keepNext/>
        <w:spacing w:before="360" w:after="160"/>
      </w:pPr>
      <w:r>
        <w:rPr>
          <w:b/>
          <w:sz w:val="28"/>
          <w:szCs w:val="28"/>
        </w:rPr>
        <w:t xml:space="preserve">13. Severability and reformation</w:t>
      </w:r>
    </w:p>
    <w:p>
      <w:pPr>
        <w:keepNext/>
        <w:spacing w:before="200" w:after="80"/>
      </w:pPr>
      <w:r>
        <w:rPr>
          <w:rFonts w:ascii="Segoe UI Symbol" w:hAnsi="Segoe UI Symbol"/>
        </w:rPr>
        <w:t xml:space="preserve">☐  </w:t>
      </w:r>
      <w:r>
        <w:rPr>
          <w:b/>
        </w:rPr>
        <w:t xml:space="preserve">13.1  </w:t>
      </w:r>
      <w:r>
        <w:rPr>
          <w:b/>
        </w:rPr>
        <w:t xml:space="preserve">No court will narrow it</w:t>
      </w:r>
      <w:r>
        <w:t xml:space="preserve"> — Avoid (SHOULD NOT)</w:t>
      </w:r>
    </w:p>
    <w:p>
      <w:pPr>
        <w:spacing w:before="0" w:after="120"/>
        <w:ind w:left="540"/>
      </w:pPr>
      <w:r>
        <w:t xml:space="preserve">Treat reformation language as a tell, not a tool. There is nothing for a California court to narrow a void covenant </w:t>
      </w:r>
      <w:r>
        <w:rPr>
          <w:i/>
        </w:rPr>
        <w:t xml:space="preserve">into</w:t>
      </w:r>
      <w:r>
        <w:t xml:space="preserve"> — the statute voids an employment non-compete no matter how narrowly tailored, so every smaller version of the clause is just as void — and the exposure attached when the clause went into the contract, before any judge could look at it. A plain severability clause that drops the void provision and preserves the rest of the agreement is healthy; language asking a court to enforce restraints to the maximum extent permitted by law signals a form drafted for a different state and a covenant someone hoped to keep. </w:t>
      </w:r>
    </w:p>
    <w:p>
      <w:pPr>
        <w:keepNext/>
        <w:spacing w:before="360" w:after="160"/>
      </w:pPr>
      <w:r>
        <w:rPr>
          <w:b/>
          <w:sz w:val="28"/>
          <w:szCs w:val="28"/>
        </w:rPr>
        <w:t xml:space="preserve">14. Survival</w:t>
      </w:r>
    </w:p>
    <w:p>
      <w:pPr>
        <w:keepNext/>
        <w:spacing w:before="200" w:after="80"/>
      </w:pPr>
      <w:r>
        <w:rPr>
          <w:rFonts w:ascii="Segoe UI Symbol" w:hAnsi="Segoe UI Symbol"/>
        </w:rPr>
        <w:t xml:space="preserve">☐  </w:t>
      </w:r>
      <w:r>
        <w:rPr>
          <w:b/>
        </w:rPr>
        <w:t xml:space="preserve">14.1  </w:t>
      </w:r>
      <w:r>
        <w:rPr>
          <w:b/>
        </w:rPr>
        <w:t xml:space="preserve">Survival after the agreement ends</w:t>
      </w:r>
      <w:r>
        <w:t xml:space="preserve"> — Recommended (SHOULD)</w:t>
      </w:r>
    </w:p>
    <w:p>
      <w:pPr>
        <w:spacing w:before="0" w:after="120"/>
        <w:ind w:left="540"/>
      </w:pPr>
      <w:r>
        <w:t xml:space="preserve">Per-covenant survival keeps each post-separation clock checkable on its own: perpetual for trade secrets, finite for other confidential information, and whatever the parties dared for a retained non-solicit. In California a bundled survival clause has one extra failure mode worth scanning for — quietly extending obligations that were void from the start, which keeps dead clauses looking alive to the next reader of the file.</w:t>
      </w:r>
    </w:p>
    <w:p>
      <w:pPr>
        <w:keepNext/>
        <w:spacing w:before="360" w:after="160"/>
      </w:pPr>
      <w:r>
        <w:rPr>
          <w:b/>
          <w:sz w:val="28"/>
          <w:szCs w:val="28"/>
        </w:rPr>
        <w:t xml:space="preserve">15. Assignment and successors</w:t>
      </w:r>
    </w:p>
    <w:p>
      <w:pPr>
        <w:keepNext/>
        <w:spacing w:before="200" w:after="80"/>
      </w:pPr>
      <w:r>
        <w:rPr>
          <w:rFonts w:ascii="Segoe UI Symbol" w:hAnsi="Segoe UI Symbol"/>
        </w:rPr>
        <w:t xml:space="preserve">☐  </w:t>
      </w:r>
      <w:r>
        <w:rPr>
          <w:b/>
        </w:rPr>
        <w:t xml:space="preserve">15.1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California caution runs to acquirers: assignment moves the contract, but it cannot upgrade it — a void restraint stays void in the buyer's hands, and the sale-of-business exception protects only covenants given by a </w:t>
      </w:r>
      <w:r>
        <w:rPr>
          <w:i/>
        </w:rPr>
        <w:t xml:space="preserve">seller</w:t>
      </w:r>
      <w:r>
        <w:t xml:space="preserve"> in the transaction documents, not employment-agreement covenants that ride along with the deal. Courts read the agreements together and void the one parked in the wrong instrument. </w:t>
      </w:r>
    </w:p>
    <w:p>
      <w:pPr>
        <w:keepNext/>
        <w:spacing w:before="360" w:after="160"/>
      </w:pPr>
      <w:r>
        <w:rPr>
          <w:b/>
          <w:sz w:val="28"/>
          <w:szCs w:val="28"/>
        </w:rPr>
        <w:t xml:space="preserve">16. Governing law, venue, dispute process</w:t>
      </w:r>
    </w:p>
    <w:p>
      <w:pPr>
        <w:keepNext/>
        <w:spacing w:before="200" w:after="80"/>
      </w:pPr>
      <w:r>
        <w:rPr>
          <w:rFonts w:ascii="Segoe UI Symbol" w:hAnsi="Segoe UI Symbol"/>
        </w:rPr>
        <w:t xml:space="preserve">☐  </w:t>
      </w:r>
      <w:r>
        <w:rPr>
          <w:b/>
        </w:rPr>
        <w:t xml:space="preserve">16.1  </w:t>
      </w:r>
      <w:r>
        <w:rPr>
          <w:b/>
        </w:rPr>
        <w:t xml:space="preserve">California law and forum for California employees</w:t>
      </w:r>
      <w:r>
        <w:t xml:space="preserve"> — Prohibited (MUST NOT)</w:t>
      </w:r>
    </w:p>
    <w:p>
      <w:pPr>
        <w:spacing w:before="0" w:after="120"/>
        <w:ind w:left="540"/>
      </w:pPr>
      <w:r>
        <w:t xml:space="preserve">For an employee who primarily resides and works in California, the agreement must not condition employment on litigating California claims elsewhere or on giving up California law — the employee can void such a clause, and a void restraint is unenforceable here regardless of where or when the contract was signed. Check for the one statutory escape hatch: a clause the employee negotiated while individually represented by counsel sits outside the rule. Then check the limit running the other way — a sister-state court is not bound to honor California's policy, and a federal appeals court has let another state's non-compete injunction stand against an executive who relocated to California — so a clean California clause protects the worker far better than after-the-fact reliance on the ban. </w:t>
      </w:r>
    </w:p>
    <w:p>
      <w:pPr>
        <w:keepNext/>
        <w:spacing w:before="360" w:after="160"/>
      </w:pPr>
      <w:r>
        <w:rPr>
          <w:b/>
          <w:sz w:val="28"/>
          <w:szCs w:val="28"/>
        </w:rPr>
        <w:t xml:space="preserve">17. Entire agreement, amendment, waiver, e-signatures</w:t>
      </w:r>
    </w:p>
    <w:p>
      <w:pPr>
        <w:keepNext/>
        <w:spacing w:before="200" w:after="80"/>
      </w:pPr>
      <w:r>
        <w:rPr>
          <w:rFonts w:ascii="Segoe UI Symbol" w:hAnsi="Segoe UI Symbol"/>
        </w:rPr>
        <w:t xml:space="preserve">☐  </w:t>
      </w:r>
      <w:r>
        <w:rPr>
          <w:b/>
        </w:rPr>
        <w:t xml:space="preserve">17.1  </w:t>
      </w:r>
      <w:r>
        <w:rPr>
          <w:b/>
        </w:rPr>
        <w:t xml:space="preserve">Entire agreement, amendments, e-signatures</w:t>
      </w:r>
      <w:r>
        <w:t xml:space="preserve"> — Recommended (SHOULD)</w:t>
      </w:r>
    </w:p>
    <w:p>
      <w:pPr>
        <w:spacing w:before="0" w:after="120"/>
        <w:ind w:left="540"/>
      </w:pPr>
      <w:r>
        <w:t xml:space="preserve">Boilerplate with two California dates hiding in it. The choice-of-law protections cover contracts entered into, modified, or extended on or after January 1, 2017 — so a routine amendment can pull a legacy agreement into the modern rule even if the original predates it — and the stay-or-pay regime applies to contracts entered into on or after January 1, 2026, making re-papering an event that can convert a tolerated old term into a void one. Review the amendment mechanics knowing every refresh is also a regime check. </w:t>
      </w:r>
    </w:p>
    <w:p>
      <w:pPr>
        <w:keepNext/>
        <w:spacing w:before="360" w:after="160"/>
      </w:pPr>
      <w:r>
        <w:rPr>
          <w:b/>
          <w:sz w:val="28"/>
          <w:szCs w:val="28"/>
        </w:rPr>
        <w:t xml:space="preserve">18. California statutory gates (Bus. &amp; Prof. Code § 16600 and the 2024–2026 laws)</w:t>
      </w:r>
    </w:p>
    <w:p>
      <w:pPr>
        <w:spacing w:before="0" w:after="120"/>
      </w:pPr>
      <w:r>
        <w:t xml:space="preserve">The five items below exist only on this California page: they implement the cleanup duty the 2024 laws created, the narrow sale-of-business pathway, the de facto non-compete limit on confidentiality, and the 2026 stay-or-pay and healthcare rules — none of which has an analogue in the jurisdiction-neutral checklist.</w:t>
      </w:r>
    </w:p>
    <w:p>
      <w:pPr>
        <w:keepNext/>
        <w:spacing w:before="200" w:after="80"/>
      </w:pPr>
      <w:r>
        <w:rPr>
          <w:rFonts w:ascii="Segoe UI Symbol" w:hAnsi="Segoe UI Symbol"/>
        </w:rPr>
        <w:t xml:space="preserve">☐  </w:t>
      </w:r>
      <w:r>
        <w:rPr>
          <w:b/>
        </w:rPr>
        <w:t xml:space="preserve">18.1  </w:t>
      </w:r>
      <w:r>
        <w:rPr>
          <w:b/>
        </w:rPr>
        <w:t xml:space="preserve">Notice for past void clauses sent</w:t>
      </w:r>
      <w:r>
        <w:t xml:space="preserve"> — Required (MUST)</w:t>
      </w:r>
    </w:p>
    <w:p>
      <w:pPr>
        <w:spacing w:before="0" w:after="120"/>
        <w:ind w:left="540"/>
      </w:pPr>
      <w:r>
        <w:t xml:space="preserve">If this agreement — or the form family it came from — ever carried a void non-compete or customer non-solicit, ask the compliance question the document itself cannot answer: did the employer notify the affected workers that the clause is void? The 2024 notice obligation came with a February 14, 2024 deadline, a violation is an act of unfair competition, and the Attorney General has publicly told workers these rights are enforceable. A legacy form review is not finished until someone produces the notice or owns the gap. </w:t>
      </w:r>
    </w:p>
    <w:p>
      <w:pPr>
        <w:keepNext/>
        <w:spacing w:before="200" w:after="80"/>
      </w:pPr>
      <w:r>
        <w:rPr>
          <w:rFonts w:ascii="Segoe UI Symbol" w:hAnsi="Segoe UI Symbol"/>
        </w:rPr>
        <w:t xml:space="preserve">☐  </w:t>
      </w:r>
      <w:r>
        <w:rPr>
          <w:b/>
        </w:rPr>
        <w:t xml:space="preserve">18.2  </w:t>
      </w:r>
      <w:r>
        <w:rPr>
          <w:b/>
        </w:rPr>
        <w:t xml:space="preserve">Sale-of-business covenant kept in its lane</w:t>
      </w:r>
      <w:r>
        <w:t xml:space="preserve"> — Required (MUST)</w:t>
      </w:r>
    </w:p>
    <w:p>
      <w:pPr>
        <w:spacing w:before="0" w:after="120"/>
        <w:ind w:left="540"/>
      </w:pPr>
      <w:r>
        <w:t xml:space="preserve">The one lawful competition restraint on an individual in California belongs to a genuine sale: a seller of goodwill or of an ownership interest may agree not to carry on a similar business within the geographic area where the business operated. Audit three things — the covenant lives in the purchase agreement, not the employment agreement; it tracks the goodwill or interest actually transferred; and its geography matches where the business was carried on. Courts read the deal documents together and void covenants parked in the employment paper, while enforcing covenants tied to a real disposition of the seller's whole interest. </w:t>
      </w:r>
      <w:r>
        <w:t xml:space="preserve"> For a partial sale where the owner keeps a stake and stays involved, the covenant is not void per se but must survive a reasonableness review. </w:t>
      </w:r>
    </w:p>
    <w:p>
      <w:pPr>
        <w:keepNext/>
        <w:spacing w:before="200" w:after="80"/>
      </w:pPr>
      <w:r>
        <w:rPr>
          <w:rFonts w:ascii="Segoe UI Symbol" w:hAnsi="Segoe UI Symbol"/>
        </w:rPr>
        <w:t xml:space="preserve">☐  </w:t>
      </w:r>
      <w:r>
        <w:rPr>
          <w:b/>
        </w:rPr>
        <w:t xml:space="preserve">18.3  </w:t>
      </w:r>
      <w:r>
        <w:rPr>
          <w:b/>
        </w:rPr>
        <w:t xml:space="preserve">Confidentiality not a non-compete in disguise</w:t>
      </w:r>
      <w:r>
        <w:t xml:space="preserve"> — Prohibited (MUST NOT)</w:t>
      </w:r>
    </w:p>
    <w:p>
      <w:pPr>
        <w:spacing w:before="0" w:after="120"/>
        <w:ind w:left="540"/>
      </w:pPr>
      <w:r>
        <w:t xml:space="preserve">Run the confidentiality suite through the same screen as the covenants: definitions or restrictions broad enough to bar the worker from their field operate as a de facto non-compete and are void — and a void restraint by any name now carries the inclusion and enforcement exposure of the 2024 laws. The fix is structural, not cosmetic: tie the obligations to identifiable trade secrets and genuinely sensitive information, leave general skills and public knowledge outside, and let trade-secret law do the enforcing. </w:t>
      </w:r>
    </w:p>
    <w:p>
      <w:pPr>
        <w:keepNext/>
        <w:spacing w:before="200" w:after="80"/>
      </w:pPr>
      <w:r>
        <w:rPr>
          <w:rFonts w:ascii="Segoe UI Symbol" w:hAnsi="Segoe UI Symbol"/>
        </w:rPr>
        <w:t xml:space="preserve">☐  </w:t>
      </w:r>
      <w:r>
        <w:rPr>
          <w:b/>
        </w:rPr>
        <w:t xml:space="preserve">18.4  </w:t>
      </w:r>
      <w:r>
        <w:rPr>
          <w:b/>
        </w:rPr>
        <w:t xml:space="preserve">No stay-or-pay or training-repayment penalties</w:t>
      </w:r>
      <w:r>
        <w:t xml:space="preserve"> — Prohibited (MUST NOT)</w:t>
      </w:r>
    </w:p>
    <w:p>
      <w:pPr>
        <w:spacing w:before="0" w:after="120"/>
        <w:ind w:left="540"/>
      </w:pPr>
      <w:r>
        <w:t xml:space="preserve">For contracts entered into on or after January 1, 2026, scan for money-shaped restraints: training-repayment provisions, replacement-hire fees, quit fees, or any term charging the worker a penalty, fee, or cost for leaving. These are unlawful, void as restraints of trade, and privately actionable at actual damages or five thousand dollars per worker, whichever is greater, plus fees. The statute leaves room for a few genuine arrangements — a separately-papered sign-on bonus with a retention period of no more than two years, tuition for a transferable credential offered apart from the employment contract — so check any retention program against the carve-outs rather than assuming it survives. </w:t>
      </w:r>
    </w:p>
    <w:p>
      <w:pPr>
        <w:keepNext/>
        <w:spacing w:before="200" w:after="80"/>
      </w:pPr>
      <w:r>
        <w:rPr>
          <w:rFonts w:ascii="Segoe UI Symbol" w:hAnsi="Segoe UI Symbol"/>
        </w:rPr>
        <w:t xml:space="preserve">☐  </w:t>
      </w:r>
      <w:r>
        <w:rPr>
          <w:b/>
        </w:rPr>
        <w:t xml:space="preserve">18.5  </w:t>
      </w:r>
      <w:r>
        <w:rPr>
          <w:b/>
        </w:rPr>
        <w:t xml:space="preserve">No provider non-competes in investor contracts</w:t>
      </w:r>
      <w:r>
        <w:t xml:space="preserve"> — Prohibited (MUST NOT)</w:t>
      </w:r>
    </w:p>
    <w:p>
      <w:pPr>
        <w:spacing w:before="0" w:after="120"/>
        <w:ind w:left="540"/>
      </w:pPr>
      <w:r>
        <w:t xml:space="preserve">Where private equity or a hedge fund is involved with a physician or dental practice, the management and asset-sale contracts themselves are restricted under the framework taking effect January 1, 2026: they cannot include any clause barring a provider from competing with the practice after a termination or resignation, and a preserved sale-of-business covenant is expressly forbidden from operating as an employee non-compete. Review the MSO and transaction documents alongside the employment agreement — in sponsor-backed healthcare, the void clause usually hides in the management contract, not the offer letter. </w:t>
      </w:r>
    </w:p>
    <w:p>
      <w:pPr>
        <w:spacing w:before="360" w:after="0"/>
      </w:pPr>
      <w:r>
        <w:rPr>
          <w:color w:val="666666"/>
          <w:sz w:val="16"/>
          <w:szCs w:val="16"/>
        </w:rPr>
        <w:t xml:space="preserve">Steven Obiajulu, J.D. edits this review checklist for California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