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Alabama</w:t>
      </w:r>
    </w:p>
    <w:p>
      <w:pPr>
        <w:spacing w:before="0" w:after="120"/>
      </w:pPr>
      <w:r>
        <w:rPr>
          <w:i/>
          <w:color w:val="444444"/>
        </w:rPr>
        <w:t xml:space="preserve">A clause-by-clause reviewer checklist for Alabama employee restrictive covenant agreements — confidentiality, non-solicits, non-competes, and non-disparagement under the Restrictive Covenant Act's void-by-default rule, safe-harbor categories, signature formalities, and professional exemption.</w:t>
      </w:r>
    </w:p>
    <w:p>
      <w:pPr>
        <w:spacing w:before="0" w:after="240"/>
      </w:pPr>
      <w:r>
        <w:rPr>
          <w:color w:val="666666"/>
          <w:sz w:val="18"/>
          <w:szCs w:val="18"/>
        </w:rPr>
        <w:t xml:space="preserve">By Steven Obiajulu, J.D. Last reviewed 2026-06-12. License: CC BY 4.0. https://openagreements.org/checklists/non-compete/us/alabama</w:t>
      </w:r>
    </w:p>
    <w:p>
      <w:pPr>
        <w:keepNext/>
        <w:spacing w:before="360" w:after="160"/>
      </w:pPr>
      <w:r>
        <w:rPr>
          <w:b/>
          <w:sz w:val="28"/>
          <w:szCs w:val="28"/>
        </w:rPr>
        <w:t xml:space="preserve">1. Parties and cover-term identification</w:t>
      </w:r>
    </w:p>
    <w:p>
      <w:pPr>
        <w:spacing w:before="0" w:after="120"/>
      </w:pPr>
      <w:r>
        <w:t xml:space="preserve">Review every item below the way an Alabama court would: the Restrictive Covenant Act voids restraints by default, admits only six listed categories of covenant, and holds the enforcing party to formation formalities strict enough that a missing employer signature kills the covenant outright. For the question-by-question legal analysis behind these items, see the </w:t>
      </w:r>
      <w:r>
        <w:t xml:space="preserve">Alabama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and the entity that will sign. Alabama requires the covenant document to be signed by all parties, so the party block is not decorative — a covenant naming a parent or affiliate that never signs, or that is not the true employer, sets up the exact signature and relationship defects that void covenants here.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earns its place twice in Alabama. It anchors every duration presumption — the restricted periods run from a defined start — and it determines which statutory regime applies at all, since the Restrictive Covenant Act governs covenants entered on or after its 2016 effective date while older agreements answer to the predecessor statute. An undated covenant leaves both questions open.</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Alabama the title is an early warning system: if the role is a recognized profession — medicine, accountancy, veterinary practice, physical therapy, or anything similar — the professional exemption can put a practice-restraining covenant out of reach entirely, no matter how well the rest of the agreement is drafted. Record the title and licensure, and route professionals to the statutory-gate items at the end of this checklist.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 and treat a clause naming another state's law for an Alabama worker as a signal, not a solution. The legislature declared the Restrictive Covenant Act fundamental public policy and directed courts to apply it over conflicting foreign law, so an out-of-state selection cannot revive a covenant Alabama would void.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Alabama's hard line: job skills by themselves are not a protectable interest, so a confidentiality definition that sweeps in the worker's ordinary know-how claims protection the statute refuses to give. The definition should describe genuinely confidential business information the worker could not lawfully carry to a competitor.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trade secrets defined separately from ordinary confidential information. Alabama's protectable-interest list reaches trade secrets by cross-reference to the Alabama Trade Secrets Act, so a definition tracking that statutory meaning gives the covenant the cleanest interest to stand on — and preserves the perpetual-protection treatment the trade-secret tier deserves.</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statutory presumptions — two years or less is presumed reasonable for an employee non-compete, and each covenant family has its own window. Scattered or inconsistent period language is how an agreement drifts past the presumption without anyone noticing.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Alabama's employee exception is written for a geographically limited covenant, so the territory definition is part of fitting the statutory category, not an afterthought. Tie the geography to where the employer actually does competing business; an unbounded or everywhere-we-might-expand territory undercuts the claim that the covenant fits the exception at all.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current customers. Alabama's non-solicitation category reaches only the employer's current customers — not former ones, not prospects — so a covered-customer definition that includes anyone the employer ever served or hopes to serve pushes the clause outside its statutory category, where the void rule waits.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In Alabama the covered-employee class has a statutory ceiling: a restraint on hiring another party's workers is allowed only for workers holding a position uniquely essential to the management, organization, or service of the business. A definition spanning the whole workforce, or all employees the departing worker met, cannot fit that category.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statute's own categories: trade secrets, confidential information, relationships with specific existing or prospective customers, goodwill, or qualifying specialized training. The enforcing party must prove the covenant protects a listed interest, and recitals about market position or suppressing competition prove nothing — the statute says expressly that job skills alone do not qualify.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anchored to the business the employer actually carries on. Alabama's employee exception presupposes the employer has a competing business to protect, and a definition that balloons into adjacent markets reads as a restraint on the worker's trade generally — exactly what the baseline rule voids.</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restrains far more than any listed protectable interest requires — gratuitous overbreadth in a state whose statute voids restraints except as it specifically provides.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of defining a capitalized term. If the term appears, confirm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before a dispute does it for you. A solicitation definition limited to initiating contact keeps the non-solicit covenants reading as the modest, category-fitting restraints the Act allows; a definition that also captures passively receiving inquiries widens the clause toward a restraint on doing business at all, which has no listed category of its own.</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Every Alabama restricted period — and every presumption keyed to it — runs from this event, and the current-customer non-solicit window can also stretch for as long as post-separation consideration is paid, so the definition needs to make clear when employment ended and when any post-separation payments start and stop.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should establish two facts: that the employment relationship existed when the covenant was signed, and what consideration supported it. Alabama requires adequate consideration as a formation element, treats continued employment of an existing employee as adequate, and — the trap — holds that paying for a covenant cannot rescue one signed before the relationship began, because the statute already presupposes consideration.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Alabama statute demands it, but it remains cheap insurance. The Act puts the burden of proof on the enforcing party, and an acknowledged opportunity to seek advice is the kind of procedural-fairness evidence that costs nothing at signing and helps at enforcement.</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Alabama's protectable-interest list reaches trade secrets through its own trade-secrets statute on the same logic. A fixed expiry on trade-secret protection gives away the one interest the covenant suite most reliably stands on.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two-track structure — perpetual for trade secrets, dated for everything else — keeps the open-ended obligation where the law actually supports it and spares the broader clause from reading as an indefinite restraint on using general experience.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Alabama: omit the immunity notice and the employer forfeits exemplary damages and attorney fees in a later trade-secret suit against the worker. With Alabama covenants leaning so heavily on trade secrets as the protectable interest, surrendering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whatever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outrank a subpoena, and the carve-out plus a notice procedure is the standard way to keep the clause honest about that.</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Because the enforcing party in Alabama bears the burden of proof on every element, the certification is the cheapest contemporaneous evidence the employer will ever collect about what confidential material the worker did or did not keep.</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Alabama, unusually constrained. The Act's only category for restraints touching another party's workers is the no-hire exception, and it reaches just workers in positions uniquely essential to the business. Keep any coworker-directed clause scoped to that class and to the Restricted Period, and treat a workforce-wide no-poach clause as a category problem, not a tailoring problem.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Alabama gives this clause its own statutory category with two built-in limits: current customers only, and a presumptively reasonable window of eighteen months or as long as post-separation consideration is paid, whichever is greater. If the clause appears, confirm both limits before reviewing anything else about it.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broader restraint than non-solicitation, and one with no named category among Alabama's six exceptions. A covenant that cannot find a category is void to that extent under the baseline rule, so treat inclusion as a deliberate risk decision and draft it to fit inside the current-customer non-solicit category if it stays.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An Alabama non-compete is void unless it fits the employee exception — specified geography, a competing business, an existing employment relationship — and the enforcing party will carry the burden of proof on every element. If this clause appears at all, route the review straight through the Alabama statutory gates at the end of this checklist: category fit, protectable interest, signatures, timing, and the professional exemption.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Alabama rewards specificity: the protectable-interest list speaks in terms of specific customers and concrete relationships, and a covenant drawn to named threats is far easier to defend as protecting a listed interest rather than suppressing competition generally.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with no named Alabama category of its own. One genuine use here: for a licensed professional, business conduct outside the practice of the profession — acquiring competing practices purely as an investment, without managing them — sits outside the professional exemption and can be restrained where a practice ban cannot. Confirm the passive-holdings carve-out is intact and the clause shares the defined Restricted Period.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Alabama adds no statutory shelter of its own for an aggressive one.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In Alabama this clause should state the professional exemption plainly — and reach beyond physicians. The Act preserves the long-standing rule that a covenant cannot bar a member of a recognized profession from practicing it, and courts have applied that protection to physicians, certified public accountants, veterinarians, and physical therapists. The clause should say what the covenant does not restrain (the practice itself) and what it still can (business conduct outside the practice).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interference claims from prior employers and surfaces an incoming covenant early — when there is still time to evaluate whether Alabama law would even enforce it against the new hire.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clause can support enforcement, but a warning letter built on a covenant that fails Alabama's category, interest, or signature gates invites an interference claim rather than deterring one — the enforcing party here must be ready to prove every element of the covenant it is brandishing. If the clause appears, condition any third-party notice on a covenant that actually clears the gates.</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Alabama question. No statute or appellate decision under the 2016 Act addresses a clause that adds lost time back to the period, the employee window presumes only restraints of two years or less reasonable, and a court's power to reform an unreasonable duration is the likely tool for cutting an open-ended extension back. A defined, reasonable fixed term is the position of strength.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weigh it realistically. Alabama puts the burden of proof on the party seeking enforcement for every element and preserves every defense available in law or equity, so the recital smooths the path to an injunction without ever substituting for the statutory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Act expressly accommodates: contract remedies for breach include attorney fees or costs where the contract or other law provides for them. If fee-shifting appears, confirm it is written mutually and prevailing-party based — a one-way employer clause draws avoidable sympathy toward the restrained worker in a state that already tilts the burden against enforcement.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limited to duration</w:t>
      </w:r>
      <w:r>
        <w:t xml:space="preserve"> — Avoid (SHOULD NOT)</w:t>
      </w:r>
    </w:p>
    <w:p>
      <w:pPr>
        <w:spacing w:before="0" w:after="120"/>
        <w:ind w:left="540"/>
      </w:pPr>
      <w:r>
        <w:t xml:space="preserve">Keep the severability clause, but read it for what Alabama actually delivers. A court here may trim a covenant whose duration is overly broad and enforce the rest — that power is real and worth preserving in the drafting. What the clause cannot do is rescue a covenant that never fit a statutory category or never protected a listed interest: for that restraint, the statute authorizes voiding in its entirety, not narrowing. An agreement drafted broad on the theory that a court will shrink it to size is betting on a power the court does not have for the defects that matter most.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Alabama the discipline maps directly onto the statute, which hands each covenant family its own presumptive window; a bundled survival clause is where a duration quietly outgrows its category's presumption.</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Then note the Alabama-specific caution for deal teams: a covenant signed before the employer-employee relationship with the new entity existed has been held void, and later employment did not cure it — so after an acquisition that changes the employing entity, the safe course is a fresh, fully signed covenant rather than reliance on the assignment clause alone.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Alabama policy overrides foreign law</w:t>
      </w:r>
      <w:r>
        <w:t xml:space="preserve"> — Avoid (SHOULD NOT)</w:t>
      </w:r>
    </w:p>
    <w:p>
      <w:pPr>
        <w:spacing w:before="0" w:after="120"/>
        <w:ind w:left="540"/>
      </w:pPr>
      <w:r>
        <w:t xml:space="preserve">Do not rely on an out-of-state choice-of-law clause to make an Alabama-void covenant enforceable. The legislature declared the Restrictive Covenant Act an expression of fundamental public policy and directed courts to apply it instead of any foreign law whose application would violate that policy — which is precisely the scenario a permissive-state selection is trying to engineer. The clause should still specify governing law, venue, and dispute process; for an Alabama-based worker, Alabama law is the selection that operates as written, and the venue and process terms do the real work.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an Alabama edge: the formation rules — writing, all-parties signatures, adequate consideration — apply to the document containing the covenant, so any amendment or restatement that carries the covenant forward must itself be signed by everyone, employer included. Check the amendment mechanics so a routine refresh cannot quietly produce an unsigned covenant document. </w:t>
      </w:r>
    </w:p>
    <w:p>
      <w:pPr>
        <w:keepNext/>
        <w:spacing w:before="360" w:after="160"/>
      </w:pPr>
      <w:r>
        <w:rPr>
          <w:b/>
          <w:sz w:val="28"/>
          <w:szCs w:val="28"/>
        </w:rPr>
        <w:t xml:space="preserve">19. Alabama statutory gates (Ala. Code § 8-1-190 et seq.)</w:t>
      </w:r>
    </w:p>
    <w:p>
      <w:pPr>
        <w:spacing w:before="0" w:after="120"/>
      </w:pPr>
      <w:r>
        <w:t xml:space="preserve">The seven items below exist only on this Alabama page: they implement the Restrictive Covenant Act's void-by-default rule and its safe harbors — the six covenant categories, the protectable-interest list, the signature and timing formalities, the duration presumptions, and the professional exemption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Covenant fits a statutory exception</w:t>
      </w:r>
      <w:r>
        <w:t xml:space="preserve"> — Required (MUST)</w:t>
      </w:r>
    </w:p>
    <w:p>
      <w:pPr>
        <w:spacing w:before="0" w:after="120"/>
        <w:ind w:left="540"/>
      </w:pPr>
      <w:r>
        <w:t xml:space="preserve">Start every Alabama review here: each restraint must fit one of the six listed exceptions — employee no-hire for uniquely essential workers, exclusive dealing, sale of business, employee non-competes, current-customer non-solicits, and dissolution covenants. The baseline rule voids any restraint on a lawful profession, trade, or business except as the statute provides, and a covenant outside the list is not trimmed to fit — the statute authorizes voiding it in its entirety. Map each covenant in the agreement to its category by name before reviewing anything else. </w:t>
      </w:r>
    </w:p>
    <w:p>
      <w:pPr>
        <w:keepNext/>
        <w:spacing w:before="200" w:after="80"/>
      </w:pPr>
      <w:r>
        <w:rPr>
          <w:rFonts w:ascii="Segoe UI Symbol" w:hAnsi="Segoe UI Symbol"/>
        </w:rPr>
        <w:t xml:space="preserve">☐  </w:t>
      </w:r>
      <w:r>
        <w:rPr>
          <w:b/>
        </w:rPr>
        <w:t xml:space="preserve">19.2  </w:t>
      </w:r>
      <w:r>
        <w:rPr>
          <w:b/>
        </w:rPr>
        <w:t xml:space="preserve">Protectable interest behind the covenant</w:t>
      </w:r>
      <w:r>
        <w:t xml:space="preserve"> — Required (MUST)</w:t>
      </w:r>
    </w:p>
    <w:p>
      <w:pPr>
        <w:spacing w:before="0" w:after="120"/>
        <w:ind w:left="540"/>
      </w:pPr>
      <w:r>
        <w:t xml:space="preserve">Fitting a category is necessary but not sufficient — the covenant must also protect an interest the statute lists: trade secrets, confidential information, relationships with specific existing or prospective customers, goodwill, or qualifying specialized training. Job skills alone never qualify. And if specialized training is the claimed interest, check the drafting mechanic: the training and its expense must be specifically set out in writing in the agreement as the consideration for the restraint, so a boilerplate training recital earns nothing. </w:t>
      </w:r>
    </w:p>
    <w:p>
      <w:pPr>
        <w:keepNext/>
        <w:spacing w:before="200" w:after="80"/>
      </w:pPr>
      <w:r>
        <w:rPr>
          <w:rFonts w:ascii="Segoe UI Symbol" w:hAnsi="Segoe UI Symbol"/>
        </w:rPr>
        <w:t xml:space="preserve">☐  </w:t>
      </w:r>
      <w:r>
        <w:rPr>
          <w:b/>
        </w:rPr>
        <w:t xml:space="preserve">19.3  </w:t>
      </w:r>
      <w:r>
        <w:rPr>
          <w:b/>
        </w:rPr>
        <w:t xml:space="preserve">Employer signature on the covenant document</w:t>
      </w:r>
      <w:r>
        <w:t xml:space="preserve"> — Required (MUST)</w:t>
      </w:r>
    </w:p>
    <w:p>
      <w:pPr>
        <w:spacing w:before="0" w:after="120"/>
        <w:ind w:left="540"/>
      </w:pPr>
      <w:r>
        <w:t xml:space="preserve">Inspect the signature block of the document that contains the covenant — not the offer letter, not the handbook acknowledgement. Alabama requires the covenant to be in writing, signed by all parties, and supported by adequate consideration, and the state supreme court has voided a covenant where the employer signed the covenant addendum two years late, rejecting assent-by-conduct and full performance as substitutes. An unsigned or late-signed covenant document is a defect no other clause in the agreement can repair. </w:t>
      </w:r>
    </w:p>
    <w:p>
      <w:pPr>
        <w:keepNext/>
        <w:spacing w:before="200" w:after="80"/>
      </w:pPr>
      <w:r>
        <w:rPr>
          <w:rFonts w:ascii="Segoe UI Symbol" w:hAnsi="Segoe UI Symbol"/>
        </w:rPr>
        <w:t xml:space="preserve">☐  </w:t>
      </w:r>
      <w:r>
        <w:rPr>
          <w:b/>
        </w:rPr>
        <w:t xml:space="preserve">19.4  </w:t>
      </w:r>
      <w:r>
        <w:rPr>
          <w:b/>
        </w:rPr>
        <w:t xml:space="preserve">No signing before employment begins</w:t>
      </w:r>
      <w:r>
        <w:t xml:space="preserve"> — Prohibited (MUST NOT)</w:t>
      </w:r>
    </w:p>
    <w:p>
      <w:pPr>
        <w:spacing w:before="0" w:after="120"/>
        <w:ind w:left="540"/>
      </w:pPr>
      <w:r>
        <w:t xml:space="preserve">The covenant must not be signed before the employer-employee relationship exists. The Alabama Supreme Court held a covenant signed about a month before employment began void, and held that the voidness did not disappear when employment later started — nor could payment fix it, since the statute presupposes covenants supported by consideration. The employee exceptions in the current Act are written the same relationship-first way. Verify the execution date against the start date, and after any acquisition that changes the employing entity, look for a re-executed covenant with the new employer. </w:t>
      </w:r>
    </w:p>
    <w:p>
      <w:pPr>
        <w:keepNext/>
        <w:spacing w:before="200" w:after="80"/>
      </w:pPr>
      <w:r>
        <w:rPr>
          <w:rFonts w:ascii="Segoe UI Symbol" w:hAnsi="Segoe UI Symbol"/>
        </w:rPr>
        <w:t xml:space="preserve">☐  </w:t>
      </w:r>
      <w:r>
        <w:rPr>
          <w:b/>
        </w:rPr>
        <w:t xml:space="preserve">19.5  </w:t>
      </w:r>
      <w:r>
        <w:rPr>
          <w:b/>
        </w:rPr>
        <w:t xml:space="preserve">No practice ban on exempt professionals</w:t>
      </w:r>
      <w:r>
        <w:t xml:space="preserve"> — Prohibited (MUST NOT)</w:t>
      </w:r>
    </w:p>
    <w:p>
      <w:pPr>
        <w:spacing w:before="0" w:after="120"/>
        <w:ind w:left="540"/>
      </w:pPr>
      <w:r>
        <w:t xml:space="preserve">The agreement must not restrain a member of a recognized profession from practicing it. The Act preserves the common-law professional exemption, and a professional cannot fall within the statutory exceptions at all — so the covenant fails against the professional even when its drafting is otherwise perfect. Courts have applied the exemption to physicians, certified public accountants, veterinarians, and physical therapists, and the class is open-ended: any occupation with demanding training, delicate services, and instantaneous judgment calls is a candidate. The exemption protects the practice itself; restraints on business conduct outside the practice can still operate. </w:t>
      </w:r>
    </w:p>
    <w:p>
      <w:pPr>
        <w:keepNext/>
        <w:spacing w:before="200" w:after="80"/>
      </w:pPr>
      <w:r>
        <w:rPr>
          <w:rFonts w:ascii="Segoe UI Symbol" w:hAnsi="Segoe UI Symbol"/>
        </w:rPr>
        <w:t xml:space="preserve">☐  </w:t>
      </w:r>
      <w:r>
        <w:rPr>
          <w:b/>
        </w:rPr>
        <w:t xml:space="preserve">19.6  </w:t>
      </w:r>
      <w:r>
        <w:rPr>
          <w:b/>
        </w:rPr>
        <w:t xml:space="preserve">Durations inside the statutory presumptions</w:t>
      </w:r>
      <w:r>
        <w:t xml:space="preserve"> — Recommended (SHOULD)</w:t>
      </w:r>
    </w:p>
    <w:p>
      <w:pPr>
        <w:spacing w:before="0" w:after="120"/>
        <w:ind w:left="540"/>
      </w:pPr>
      <w:r>
        <w:t xml:space="preserve">Check each covenant's term against its category's presumptively reasonable window: two years or less for an employee non-compete, eighteen months — or as long as post-separation consideration is paid, whichever is greater — for a current-customer non-solicit, and one year or less for a sale-of-business restraint. The presumptions are rebuttable, but a term outside the window surrenders the statutory presumption and hands the court a reason to reform the duration down. </w:t>
      </w:r>
    </w:p>
    <w:p>
      <w:pPr>
        <w:keepNext/>
        <w:spacing w:before="200" w:after="80"/>
      </w:pPr>
      <w:r>
        <w:rPr>
          <w:rFonts w:ascii="Segoe UI Symbol" w:hAnsi="Segoe UI Symbol"/>
        </w:rPr>
        <w:t xml:space="preserve">☐  </w:t>
      </w:r>
      <w:r>
        <w:rPr>
          <w:b/>
        </w:rPr>
        <w:t xml:space="preserve">19.7  </w:t>
      </w:r>
      <w:r>
        <w:rPr>
          <w:b/>
        </w:rPr>
        <w:t xml:space="preserve">No-hire limited to uniquely essential workers</w:t>
      </w:r>
      <w:r>
        <w:t xml:space="preserve"> — Required (MUST)</w:t>
      </w:r>
    </w:p>
    <w:p>
      <w:pPr>
        <w:spacing w:before="0" w:after="120"/>
        <w:ind w:left="540"/>
      </w:pPr>
      <w:r>
        <w:t xml:space="preserve">Any restraint on hiring or employing another party's workers must be confined to workers holding a position uniquely essential to the management, organization, or service of the business — that is the entire reach of the category, and it is a high bar that few rank-and-file or mid-level employees will meet. A clause covering the whole workforce, or everyone the departing worker supervised, does not fit the category and inherits the void rule. Ask the employer to identify, role by role, why each covered position is uniquely essential. </w:t>
      </w:r>
    </w:p>
    <w:p>
      <w:pPr>
        <w:spacing w:before="360" w:after="0"/>
      </w:pPr>
      <w:r>
        <w:rPr>
          <w:color w:val="666666"/>
          <w:sz w:val="16"/>
          <w:szCs w:val="16"/>
        </w:rPr>
        <w:t xml:space="preserve">Steven Obiajulu, J.D. edits this review checklist for Alabama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