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w:t>
      </w:r>
    </w:p>
    <w:p>
      <w:pPr>
        <w:spacing w:before="0" w:after="120"/>
      </w:pPr>
      <w:r>
        <w:rPr>
          <w:i/>
          <w:color w:val="444444"/>
        </w:rPr>
        <w:t xml:space="preserve">A clause-by-clause reviewer checklist for employee restrictive covenant agreements — confidentiality, non-solicits, non-competes, and non-disparagement.</w:t>
      </w:r>
    </w:p>
    <w:p>
      <w:pPr>
        <w:spacing w:before="0" w:after="240"/>
      </w:pPr>
      <w:r>
        <w:rPr>
          <w:color w:val="666666"/>
          <w:sz w:val="18"/>
          <w:szCs w:val="18"/>
        </w:rPr>
        <w:t xml:space="preserve">By Steven Obiajulu, J.D. Last reviewed 2026-06-11. License: CC BY 4.0. https://openagreements.org/checklists/non-compete/us</w:t>
      </w:r>
    </w:p>
    <w:p>
      <w:pPr>
        <w:keepNext/>
        <w:spacing w:before="360" w:after="160"/>
      </w:pPr>
      <w:r>
        <w:rPr>
          <w:b/>
          <w:sz w:val="28"/>
          <w:szCs w:val="28"/>
        </w:rPr>
        <w:t xml:space="preserve">1. Parties and cover-term identification</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The employer and the employee should both be named on the face of the agreement — in the cover terms, not just the signature block. A covenant that names the wrong entity, such as a parent company instead of the operating subsidiary that actually employs the worker, invites an enforceability fight before the merits are ever reached.</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Look for a stated effective date. Every covenant clock in the agreement runs from a defined start, so a missing or ambiguous date makes each duration ambiguous along with it.</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The employee's title or position should be recorded when known. States increasingly limit who can be bound by a non-compete based on the worker's classification or earnings, so a recorded title and role is the starting evidence for whether this worker can be bound at all.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Confirm the governing state is named. Restrictive-covenant rules differ sharply by state, and the parties' choice does not control where another state has a materially greater interest and a fundamental policy the chosen law would contravene — New York has refused to apply a Florida choice-of-law clause on exactly that ground — so the selection deserves real attention, not boilerplate treatment.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The rest of the agreement builds on what counts as confidential. Look for a definition with real boundaries — categories of protected material plus the standard exclusions for public or independently known information. A definition without those boundaries can operate as a de facto non-compete, and courts have refused to enforce nondisclosure obligations on exactly that ground.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Trade secrets should not be folded into the general confidentiality definition. Trade-secret protection lasts as long as secrecy does, while ordinary confidential information usually carries a stated end date — the duration analysis depends on keeping the two apart.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Every covenant’s duration should point back to a single defined Restricted Period, so you check the timing once instead of re-deriving it clause by clause.</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Look for a defined geographic scope tied to where the employee actually worked or where the employer actually competes. Courts measure a covenant's restricted activity, geography, and time against the employer's legitimate business interest — the Restatement (Second) of Contracts § 188 framework most states follow — and an undefined territory is the classic mark of overbreadth.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The protected customer class should be bounded by actual relationship — typically customers, vendors, and referral sources the employee had material contact with during a stated look-back window, not the employer's entire book of business. Courts protect the relationships the employee actually serviced or acquired through the job; a class untethered from contact reads as a restraint on competition itself.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Check for a bounded class — typically colleagues the departing employee worked with or managed during a stated look-back window. A no-poach clause covering every employee of the company sweeps in people the departing worker could not meaningfully influence.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The agreement should say which legitimate business interests the covenants protect — confidential information, customer relationships, workforce stability, goodwill. Under the prevailing common-law standard, a covenant is enforced only to the extent it protects a legitimate business interest of the employer — the Restatement-derived three-prong test — so this definition is the substantive anchor for every covenant that follows, not throat-clearing.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A non-compete is only as workable as its definition of what counts as competing. Look for a description of the actual business activities restrained, rather than a definition that expands to anything the employer might someday do.</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a covenant restricts owning or investing in competitors, look for a passive-ownership carve-out below a stated threshold — commonly one to five percent of a public company's shares, plus diversified funds. Without it, the covenant technically bans holding index funds and ordinary public stock across the industry, which is the kind of overbreadth that gets covenants struck.</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separate defined term for passive holdings is a drafting convenience, not a legal requirement — many agreements simply inline the carve-out language. If the capitalized term appears, confirm its threshold matches the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The definition should say what conduct counts — active outreach, and whether merely accepting unsolicited business is included. Jurisdictions split on whether accepting unsolicited business counts as soliciting, and who initiated contact is a key factor rather than a bright line, so an undefined term converts every departure into a fact fight.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Check what event starts the restriction clock, and whether it covers resignation, termination by the employer, and expiration of a fixed term alike. The cleanest formulations key the Restricted Period to the employment ending for any reason, so the trigger never depends on who ended the relationship or why.</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Look for an acknowledgement of when the agreement was signed relative to the start of employment, and of the consideration supporting it. States vary on what supports a post-hire covenant — Massachusetts requires fair and reasonable consideration independent from continued employment, while Illinois defines adequate consideration by two years of post-signing employment or other adequate benefits — so the acknowledgement preserves the facts an enforcing party will later need.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An acknowledgement that the employee had the opportunity to consult a lawyer is inexpensive enforceability evidence in states that scrutinize procedural fairness. Several states impose procedural conditions on non-competes — Massachusetts, for example, requires the agreement to expressly state the employee's right to consult counsel before signing — so its absence is worth flagging even in a neutral draft.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Confirm the trade-secret obligation runs for as long as the information remains a trade secret, with no fixed end date. Federal and state trade-secret law defines protection by secrecy itself, so a covenant that cuts trade-secret confidentiality off at a fixed term gives away statutory protection for nothing.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Ordinary confidential information should carry its own finite term, separate from the perpetual trade-secret obligation. Courts are skeptical of perpetual restraints on information that never qualified as a trade secret, and the two-track duration structure is the standard cure.</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trade-secret law requires this notice. An employer that omits it forfeits exemplary damages and attorney fees in a later misappropriation suit against the employee — a silent, purely self-inflicted loss.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must leave room for employees to discuss wages, hours, and working conditions. Federal labor law protects that speech in every state, and the Board has recently been striking overbroad clauses.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Look for a carve-out permitting disclosure required by law, court order, or a government investigation, ideally with notice to the employer where lawful. A confidentiality clause cannot override a subpoena, and the carve-out keeps the employee from being contractually trapped between competing obligations.</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The agreement should require return or deletion of company materials at termination and a written certification of compliance. The certification converts a vague obligation into a checkable event — and a useful exhibit if a misappropriation dispute follows.</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An optional covenant, and the least-litigated one in the family. When included it should track the defined Covered Employees class and the Restricted Period — workforce stability is a recognized legitimate interest, and courts have upheld reasonably scoped employee non-solicits even while striking broader covenants in the same agreement.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When included, confirm the covenant reaches only Covered Customers for the stated Restricted Period. Solicitation generally requires an overt act by the departing employee, so a clause that leaves the term undefined makes customer-initiated business a jurisdiction-dependent fact fight — this covenant and the Solicit definition have to be read together.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goes further than non-solicitation: it bars doing business with covered customers even when they initiate the contact. Jurisdictions disagree on whether merely accepting customer-initiated business breaches a bare non-solicit; a non-dealing clause reaches that conduct expressly and is materially broader — treat its inclusion as a deliberate, jurisdiction-checked choice rather than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non-compete should be the exception rather than the default, and when present it must be bounded — defined territory, defined competitive business, defined period. State treatment runs from enforceable-when-reasonable — the prevailing Restatement-derived rule — to void outright under California's section 16600 line, so the governing state decides how much of this clause survives.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restrict those rather than lean on the broader Competitive Business definition. Courts split three ways on an overbroad covenant — refuse to enforce it, strike the offending words, or reform it to a reasonable scope — so a restraint drafted to actual need is the only universally safe course.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A genuine choice, not a default. When it appears, confirm it keeps the passive public-stock carve-out and runs on the same defined Restricted Period as the other covenants — without the carve-out it bans owning ordinary index-fund-style holdings.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A non-disparagement clause with a stated duration is standard, but check the carve-outs: truthful testimony, statements to government agencies, and other legally protected speech must stay outside its reach. Labor regulators have struck broad versions that chill employees' protected discussion of working conditions, so the carve-outs are what keep the clause enforceable.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Even a general-purpose form should say how it treats physicians, because a growing list of states voids or restricts physician non-competes by statute. A dedicated clause makes the treatment explicit and reviewable instead of leaving it to inference from the general covenants.</w:t>
      </w:r>
    </w:p>
    <w:p>
      <w:pPr>
        <w:spacing w:before="0" w:after="120"/>
        <w:ind w:left="900"/>
      </w:pPr>
      <w:r>
        <w:rPr>
          <w:b/>
        </w:rPr>
        <w:t xml:space="preserve">State variation — Florida (Prohibited (MUST NOT)). </w:t>
      </w:r>
      <w:r>
        <w:t xml:space="preserve">Florida voids a specialist physician's restrictive covenant in any county where one entity employs or contracts with all the physicians practicing that specialty, and keeps it void for three years after a second entity enters — the agreement must not impose a non-compete where that condition is or may be present. </w:t>
      </w:r>
    </w:p>
    <w:p>
      <w:pPr>
        <w:spacing w:before="0" w:after="120"/>
        <w:ind w:left="900"/>
      </w:pPr>
      <w:r>
        <w:rPr>
          <w:b/>
        </w:rPr>
        <w:t xml:space="preserve">State variation — Wyoming (Prohibited (MUST NOT)). </w:t>
      </w:r>
      <w:r>
        <w:t xml:space="preserve">Wyoming voids non-compete provisions in employment, partnership, or corporate agreements between physicians that restrict the right to practice medicine, and separately preserves a departing physician's ability to tell rare-disorder patients where the new practice is.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Look for the employee's representation that no prior agreement or court order blocks performance. It surfaces a previous employer's covenant before day one and gives the new employer a defense against tortious-interference claims.</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Whether the employer may tell a future employer about the covenants is a genuine drafting choice, not a default. Notice provisions support enforcement, but exercising them carelessly can itself create tortious-interference exposure — if the clause appears, check that disclosure is conditioned on a reasonable belief of breach.</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Restricted Period pauses while the employee is in breach. Courts in a number of jurisdictions refuse to extend an expired restriction absent an express tolling clause, so if the agreement stays silent, a determined breacher can simply run out the clock.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employee's acknowledgement that breach may cause irreparable harm and that injunctive relief is an appropriate remedy. The recital supports — but cannot replace — the showing an enforcing employer must make at the preliminary-injunction stage; in Colorado, for example, the employer still must establish that the covenant fits a statutory exception.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Fee-shifting is a commercial choice, not a legal default: if the agreement is silent, fee recovery depends on the governing state's background rules and any applicable statute. In Indiana, for example, fees are available only for frivolous, unreasonable, groundless, or bad-faith litigation absent a contract term.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 narrowing</w:t>
      </w:r>
      <w:r>
        <w:t xml:space="preserve"> — Recommended (SHOULD)</w:t>
      </w:r>
    </w:p>
    <w:p>
      <w:pPr>
        <w:spacing w:before="0" w:after="120"/>
        <w:ind w:left="540"/>
      </w:pPr>
      <w:r>
        <w:t xml:space="preserve">The base position asks the court to trim an overbroad covenant down to an enforceable scope rather than void it. This is the most state-sensitive line in the agreement — confirm the governing state before approving the severability clause. </w:t>
      </w:r>
    </w:p>
    <w:p>
      <w:pPr>
        <w:spacing w:before="0" w:after="120"/>
        <w:ind w:left="900"/>
      </w:pPr>
      <w:r>
        <w:rPr>
          <w:b/>
        </w:rPr>
        <w:t xml:space="preserve">State variation — Florida (Required (MUST)). </w:t>
      </w:r>
      <w:r>
        <w:t xml:space="preserve">Narrowing is statutorily mandatory — the court shall modify an overbroad restraint — and the agreement must not disclaim or contract around it. </w:t>
      </w:r>
    </w:p>
    <w:p>
      <w:pPr>
        <w:spacing w:before="0" w:after="120"/>
        <w:ind w:left="900"/>
      </w:pPr>
      <w:r>
        <w:rPr>
          <w:b/>
        </w:rPr>
        <w:t xml:space="preserve">State variation — Wyoming (Prohibited (MUST NOT)). </w:t>
      </w:r>
      <w:r>
        <w:t xml:space="preserve">The clause must not invite a court to narrow an overbroad covenant. Wyoming courts will not redraft a non-compete; an overbroad covenant is entirely void, so it has to be drafted within the enforceable scope from the start.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Each covenant should state its own survival and expiration rather than relying on one bundled survival clause. The covenants run on different clocks — perpetual for trade secrets, fixed terms elsewhere — and per-covenant treatment keeps each duration independently auditable.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Check whether the employer can assign the covenants to a successor or acquirer — and confirm the employee cannot assign at all. Whether a covenant can follow the business to a buyer or successor can turn on deal structure and state law; Pennsylvania, for example, bars assignment in an asset sale absent a specific assignability provision, while Ohio allows successor enforcement after a statutory merger.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Governing law, venue, and the dispute process should be stated together so all three point the same direction. Remember the limits: the chosen law yields where another state has a materially greater interest and a fundamental policy the chosen law would contravene, so the selection manages jurisdictional risk rather than eliminating it.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but check it is actually there: an entire-agreement clause, written-amendment and no-waiver mechanics, and confirmation that electronic signatures and counterparts are valid. These provisions shut down later claims of oral side deals or waiver by inaction.</w:t>
      </w:r>
    </w:p>
    <w:p>
      <w:pPr>
        <w:spacing w:before="360" w:after="0"/>
      </w:pPr>
      <w:r>
        <w:rPr>
          <w:color w:val="666666"/>
          <w:sz w:val="16"/>
          <w:szCs w:val="16"/>
        </w:rPr>
        <w:t xml:space="preserve">Steven Obiajulu, J.D. edits this review checklist for Jurisdiction-neutral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