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Hiring Reviewer Checklist — South Africa</w:t>
      </w:r>
    </w:p>
    <w:p>
      <w:pPr>
        <w:spacing w:before="0" w:after="120"/>
      </w:pPr>
      <w:r>
        <w:rPr>
          <w:i/>
          <w:color w:val="444444"/>
        </w:rPr>
        <w:t xml:space="preserve">Review a South African employee offer for complete particulars, pay calculations, current leave, probation safeguards and unresolved specialist workstreams.</w:t>
      </w:r>
    </w:p>
    <w:p>
      <w:pPr>
        <w:spacing w:before="0" w:after="240"/>
      </w:pPr>
      <w:r>
        <w:rPr>
          <w:color w:val="666666"/>
          <w:sz w:val="18"/>
          <w:szCs w:val="18"/>
        </w:rPr>
        <w:t xml:space="preserve">By Steven Obiajulu, J.D. Last reviewed 2026-09-28. License: CC BY 4.0. https://openagreements.org/checklists/hiring/south-africa</w:t>
      </w:r>
    </w:p>
    <w:p>
      <w:pPr>
        <w:spacing w:before="0" w:after="120"/>
      </w:pPr>
      <w:r>
        <w:t xml:space="preserve">Confirm this is an employee-offer review using the </w:t>
      </w:r>
      <w:r>
        <w:t xml:space="preserve">hiring guide</w:t>
      </w:r>
      <w:r>
        <w:t xml:space="preserve">. Record its scope and flag unresolved work; completion is not a compliance certificate.</w:t>
      </w:r>
    </w:p>
    <w:p>
      <w:pPr>
        <w:keepNext/>
        <w:spacing w:before="360" w:after="160"/>
      </w:pPr>
      <w:r>
        <w:rPr>
          <w:b/>
          <w:sz w:val="28"/>
          <w:szCs w:val="28"/>
        </w:rPr>
        <w:t xml:space="preserve">1. Employer, role and coverage</w:t>
      </w:r>
    </w:p>
    <w:p>
      <w:pPr>
        <w:keepNext/>
        <w:spacing w:before="200" w:after="80"/>
      </w:pPr>
      <w:r>
        <w:rPr>
          <w:rFonts w:ascii="Segoe UI Symbol" w:hAnsi="Segoe UI Symbol"/>
        </w:rPr>
        <w:t xml:space="preserve">☐  </w:t>
      </w:r>
      <w:r>
        <w:rPr>
          <w:b/>
        </w:rPr>
        <w:t xml:space="preserve">1.1  </w:t>
      </w:r>
      <w:r>
        <w:rPr>
          <w:b/>
        </w:rPr>
        <w:t xml:space="preserve">Employer, role and coverage</w:t>
      </w:r>
      <w:r>
        <w:t xml:space="preserve"> — Recommended (SHOULD)</w:t>
      </w:r>
    </w:p>
    <w:p>
      <w:pPr>
        <w:spacing w:before="0" w:after="120"/>
        <w:ind w:left="540"/>
      </w:pPr>
      <w:r>
        <w:t xml:space="preserve">Identify the employing entity/address, employee/name/occupation, actual workplace(s), start date, employment type and recognised prior service. Flag a parent company named in place of the intended employer, an unresolved remote/cross-border arrangement or unexplained contractor classification. Section 28 excludes an employee working less than 24 hours a month for an employer from Chapter Four. For an employer with fewer than five employees, section 28(2)(a) excludes only sections 29(1)(n), (o), (p), 30, 31 and 33; the other written particulars remain outside that narrow exemption. Act 11 of 2002 deleted the domestic-worker exception in section 28(2)(b), so domestic-worker status supplies no separate exception under that subsection. Check the hire's applicable coverage before treating the section 29 inventory as a statutory duty.</w:t>
      </w:r>
    </w:p>
    <w:p>
      <w:pPr>
        <w:keepNext/>
        <w:spacing w:before="360" w:after="160"/>
      </w:pPr>
      <w:r>
        <w:rPr>
          <w:b/>
          <w:sz w:val="28"/>
          <w:szCs w:val="28"/>
        </w:rPr>
        <w:t xml:space="preserve">2. Hours and remuneration schedule</w:t>
      </w:r>
    </w:p>
    <w:p>
      <w:pPr>
        <w:keepNext/>
        <w:spacing w:before="200" w:after="80"/>
      </w:pPr>
      <w:r>
        <w:rPr>
          <w:rFonts w:ascii="Segoe UI Symbol" w:hAnsi="Segoe UI Symbol"/>
        </w:rPr>
        <w:t xml:space="preserve">☐  </w:t>
      </w:r>
      <w:r>
        <w:rPr>
          <w:b/>
        </w:rPr>
        <w:t xml:space="preserve">2.1  </w:t>
      </w:r>
      <w:r>
        <w:rPr>
          <w:b/>
        </w:rPr>
        <w:t xml:space="preserve">Hours and remuneration schedule</w:t>
      </w:r>
      <w:r>
        <w:t xml:space="preserve"> — Recommended (SHOULD)</w:t>
      </w:r>
    </w:p>
    <w:p>
      <w:pPr>
        <w:spacing w:before="0" w:after="120"/>
        <w:ind w:left="540"/>
      </w:pPr>
      <w:r>
        <w:t xml:space="preserve">Look for ordinary days/hours; wage and calculation; overtime treatment; other cash payments; in-kind benefits and value; frequency; deductions; and the identified council/sector regime. Flag a salary-only schedule. Record defined annual earnings and the 2026 threshold Gazette analysis, including the exact excluded sections; use the Gazette rather than the conflicting media summary.</w:t>
      </w:r>
    </w:p>
    <w:p>
      <w:pPr>
        <w:keepNext/>
        <w:spacing w:before="360" w:after="160"/>
      </w:pPr>
      <w:r>
        <w:rPr>
          <w:b/>
          <w:sz w:val="28"/>
          <w:szCs w:val="28"/>
        </w:rPr>
        <w:t xml:space="preserve">3. Applicable wage calculation</w:t>
      </w:r>
    </w:p>
    <w:p>
      <w:pPr>
        <w:keepNext/>
        <w:spacing w:before="200" w:after="80"/>
      </w:pPr>
      <w:r>
        <w:rPr>
          <w:rFonts w:ascii="Segoe UI Symbol" w:hAnsi="Segoe UI Symbol"/>
        </w:rPr>
        <w:t xml:space="preserve">☐  </w:t>
      </w:r>
      <w:r>
        <w:rPr>
          <w:b/>
        </w:rPr>
        <w:t xml:space="preserve">3.1  </w:t>
      </w:r>
      <w:r>
        <w:rPr>
          <w:b/>
        </w:rPr>
        <w:t xml:space="preserve">Applicable wage calculation</w:t>
      </w:r>
      <w:r>
        <w:t xml:space="preserve"> — Recommended (SHOULD)</w:t>
      </w:r>
    </w:p>
    <w:p>
      <w:pPr>
        <w:spacing w:before="0" w:after="120"/>
        <w:ind w:left="540"/>
      </w:pPr>
      <w:r>
        <w:t xml:space="preserve">Document ordinary hours, the worker category, the 2026 wage notice provision and any higher applicable sector/collective rate. The R30.23 ordinary-hour rate from 1 March 2026 is subject to the notice’s exceptions and schedules. Flag unexplained monthly-to-hourly conversion, learnership/public-works treatment or omitted sector instruments.</w:t>
      </w:r>
    </w:p>
    <w:p>
      <w:pPr>
        <w:keepNext/>
        <w:spacing w:before="360" w:after="160"/>
      </w:pPr>
      <w:r>
        <w:rPr>
          <w:b/>
          <w:sz w:val="28"/>
          <w:szCs w:val="28"/>
        </w:rPr>
        <w:t xml:space="preserve">4. Completed leave and pay schedule</w:t>
      </w:r>
    </w:p>
    <w:p>
      <w:pPr>
        <w:keepNext/>
        <w:spacing w:before="200" w:after="80"/>
      </w:pPr>
      <w:r>
        <w:rPr>
          <w:rFonts w:ascii="Segoe UI Symbol" w:hAnsi="Segoe UI Symbol"/>
        </w:rPr>
        <w:t xml:space="preserve">☐  </w:t>
      </w:r>
      <w:r>
        <w:rPr>
          <w:b/>
        </w:rPr>
        <w:t xml:space="preserve">4.1  </w:t>
      </w:r>
      <w:r>
        <w:rPr>
          <w:b/>
        </w:rPr>
        <w:t xml:space="preserve">Completed leave and pay schedule</w:t>
      </w:r>
      <w:r>
        <w:t xml:space="preserve"> — Recommended (SHOULD)</w:t>
      </w:r>
    </w:p>
    <w:p>
      <w:pPr>
        <w:spacing w:before="0" w:after="120"/>
        <w:ind w:left="540"/>
      </w:pPr>
      <w:r>
        <w:t xml:space="preserve">Require a complete applicable leave schedule. Check the Van Wyk interim order against the parenting situation and any later order or enacted remedy before inserting a parental-leave term. Distinguish leave time, contractual employer pay and UIF benefits. Flag obsolete gender-based boilerplate or an unsupported general employer-paid claim; a proposal is not an enacted remedy. Other leave entitlements require separate verification.</w:t>
      </w:r>
    </w:p>
    <w:p>
      <w:pPr>
        <w:keepNext/>
        <w:spacing w:before="360" w:after="160"/>
      </w:pPr>
      <w:r>
        <w:rPr>
          <w:b/>
          <w:sz w:val="28"/>
          <w:szCs w:val="28"/>
        </w:rPr>
        <w:t xml:space="preserve">5. Fairness preserved in notice and probation</w:t>
      </w:r>
    </w:p>
    <w:p>
      <w:pPr>
        <w:keepNext/>
        <w:spacing w:before="200" w:after="80"/>
      </w:pPr>
      <w:r>
        <w:rPr>
          <w:rFonts w:ascii="Segoe UI Symbol" w:hAnsi="Segoe UI Symbol"/>
        </w:rPr>
        <w:t xml:space="preserve">☐  </w:t>
      </w:r>
      <w:r>
        <w:rPr>
          <w:b/>
        </w:rPr>
        <w:t xml:space="preserve">5.1  </w:t>
      </w:r>
      <w:r>
        <w:rPr>
          <w:b/>
        </w:rPr>
        <w:t xml:space="preserve">Fairness preserved in notice and probation</w:t>
      </w:r>
      <w:r>
        <w:t xml:space="preserve"> — Prohibited (MUST NOT)</w:t>
      </w:r>
    </w:p>
    <w:p>
      <w:pPr>
        <w:spacing w:before="0" w:after="120"/>
        <w:ind w:left="540"/>
      </w:pPr>
      <w:r>
        <w:t xml:space="preserve">Flag and remove at-will, notice-only dismissal authority or automatic probation termination wording. If probation is used, look for a period set in advance, reasonable job-related duration, assessment standards and appropriate guidance/support. Record an opportunity for representations and their consideration before dismissal or extension. Review actual fair reason/procedure and notice/fixed-term rules; no universal notice period is supplied here.</w:t>
      </w:r>
    </w:p>
    <w:p>
      <w:pPr>
        <w:keepNext/>
        <w:spacing w:before="360" w:after="160"/>
      </w:pPr>
      <w:r>
        <w:rPr>
          <w:b/>
          <w:sz w:val="28"/>
          <w:szCs w:val="28"/>
        </w:rPr>
        <w:t xml:space="preserve">6. Accessible complete incorporated documents</w:t>
      </w:r>
    </w:p>
    <w:p>
      <w:pPr>
        <w:keepNext/>
        <w:spacing w:before="200" w:after="80"/>
      </w:pPr>
      <w:r>
        <w:rPr>
          <w:rFonts w:ascii="Segoe UI Symbol" w:hAnsi="Segoe UI Symbol"/>
        </w:rPr>
        <w:t xml:space="preserve">☐  </w:t>
      </w:r>
      <w:r>
        <w:rPr>
          <w:b/>
        </w:rPr>
        <w:t xml:space="preserve">6.1  </w:t>
      </w:r>
      <w:r>
        <w:rPr>
          <w:b/>
        </w:rPr>
        <w:t xml:space="preserve">Accessible complete incorporated documents</w:t>
      </w:r>
      <w:r>
        <w:t xml:space="preserve"> — Recommended (SHOULD)</w:t>
      </w:r>
    </w:p>
    <w:p>
      <w:pPr>
        <w:spacing w:before="0" w:after="120"/>
        <w:ind w:left="540"/>
      </w:pPr>
      <w:r>
        <w:t xml:space="preserve">List every incorporated contractual document, version/date and copy location; reconcile the list with the attachments. Arrange understandable explanation where needed, revision/copy supply when particulars change, and retention. Check current section 28 qualifications; keeping a complete accessible contract set remains this checklist’s preparation recommendation. Flag missing schedules or silent replacement of terms.</w:t>
      </w:r>
    </w:p>
    <w:p>
      <w:pPr>
        <w:keepNext/>
        <w:spacing w:before="360" w:after="160"/>
      </w:pPr>
      <w:r>
        <w:rPr>
          <w:b/>
          <w:sz w:val="28"/>
          <w:szCs w:val="28"/>
        </w:rPr>
        <w:t xml:space="preserve">7. No generic post-employment restraint</w:t>
      </w:r>
    </w:p>
    <w:p>
      <w:pPr>
        <w:keepNext/>
        <w:spacing w:before="200" w:after="80"/>
      </w:pPr>
      <w:r>
        <w:rPr>
          <w:rFonts w:ascii="Segoe UI Symbol" w:hAnsi="Segoe UI Symbol"/>
        </w:rPr>
        <w:t xml:space="preserve">☐  </w:t>
      </w:r>
      <w:r>
        <w:rPr>
          <w:b/>
        </w:rPr>
        <w:t xml:space="preserve">7.1  </w:t>
      </w:r>
      <w:r>
        <w:rPr>
          <w:b/>
        </w:rPr>
        <w:t xml:space="preserve">No generic post-employment restraint</w:t>
      </w:r>
      <w:r>
        <w:t xml:space="preserve"> — Prohibited (MUST NOT)</w:t>
      </w:r>
    </w:p>
    <w:p>
      <w:pPr>
        <w:spacing w:before="0" w:after="120"/>
        <w:ind w:left="540"/>
      </w:pPr>
      <w:r>
        <w:t xml:space="preserve">Insert a default post-employment non-compete into the generic first-offer draft. Hold any proposed separate rider outside the offer pending an identified reviewer’s assessment; record protectable interests, access/threat facts, activities, duration, territory and alternatives; complete authority authentication and later-treatment analysis. This is a product drafting safeguard. No safe duration, territory, non-solicit rule or court-rewriting result is verified here.</w:t>
      </w:r>
    </w:p>
    <w:p>
      <w:pPr>
        <w:keepNext/>
        <w:spacing w:before="360" w:after="160"/>
      </w:pPr>
      <w:r>
        <w:rPr>
          <w:b/>
          <w:sz w:val="28"/>
          <w:szCs w:val="28"/>
        </w:rPr>
        <w:t xml:space="preserve">8. Separate specialist workstreams</w:t>
      </w:r>
    </w:p>
    <w:p>
      <w:pPr>
        <w:keepNext/>
        <w:spacing w:before="200" w:after="80"/>
      </w:pPr>
      <w:r>
        <w:rPr>
          <w:rFonts w:ascii="Segoe UI Symbol" w:hAnsi="Segoe UI Symbol"/>
        </w:rPr>
        <w:t xml:space="preserve">☐  </w:t>
      </w:r>
      <w:r>
        <w:rPr>
          <w:b/>
        </w:rPr>
        <w:t xml:space="preserve">8.1  </w:t>
      </w:r>
      <w:r>
        <w:rPr>
          <w:b/>
        </w:rPr>
        <w:t xml:space="preserve">Separate specialist workstreams</w:t>
      </w:r>
      <w:r>
        <w:t xml:space="preserve"> — Recommended (SHOULD)</w:t>
      </w:r>
    </w:p>
    <w:p>
      <w:pPr>
        <w:spacing w:before="0" w:after="120"/>
        <w:ind w:left="540"/>
      </w:pPr>
      <w:r>
        <w:t xml:space="preserve">Resolve confidentiality/IP ownership, employee-data processing, right-to-work and employer/payroll obligations with identified owners and separately reviewed terms. Flag missing schedules and unresolved employer registrations. Record the owner, required assessment and unresolved response for each workstream. This procedural issue inventory does not state the governing rules or establish compliance in those areas.</w:t>
      </w:r>
    </w:p>
    <w:p>
      <w:pPr>
        <w:keepNext/>
        <w:spacing w:before="360" w:after="160"/>
      </w:pPr>
      <w:r>
        <w:rPr>
          <w:b/>
          <w:sz w:val="28"/>
          <w:szCs w:val="28"/>
        </w:rPr>
        <w:t xml:space="preserve">9. Complete documents and decision record</w:t>
      </w:r>
    </w:p>
    <w:p>
      <w:pPr>
        <w:keepNext/>
        <w:spacing w:before="200" w:after="80"/>
      </w:pPr>
      <w:r>
        <w:rPr>
          <w:rFonts w:ascii="Segoe UI Symbol" w:hAnsi="Segoe UI Symbol"/>
        </w:rPr>
        <w:t xml:space="preserve">☐  </w:t>
      </w:r>
      <w:r>
        <w:rPr>
          <w:b/>
        </w:rPr>
        <w:t xml:space="preserve">9.1  </w:t>
      </w:r>
      <w:r>
        <w:rPr>
          <w:b/>
        </w:rPr>
        <w:t xml:space="preserve">Complete documents and decision record</w:t>
      </w:r>
      <w:r>
        <w:t xml:space="preserve"> — Recommended (SHOULD)</w:t>
      </w:r>
    </w:p>
    <w:p>
      <w:pPr>
        <w:spacing w:before="0" w:after="120"/>
        <w:ind w:left="540"/>
      </w:pPr>
      <w:r>
        <w:t xml:space="preserve">Replace bracketed inputs, reconcile all attachments, retain dated facts/source-version decisions and deliver the complete documents for acceptance. Record remaining uncertainty explicitly. The checklist supplies no signature-ready offer; checking every box does not resolve an unresearched issue or promise legal readiness.</w:t>
      </w:r>
    </w:p>
    <w:p>
      <w:pPr>
        <w:spacing w:before="360" w:after="0"/>
      </w:pPr>
      <w:r>
        <w:rPr>
          <w:color w:val="666666"/>
          <w:sz w:val="16"/>
          <w:szCs w:val="16"/>
        </w:rPr>
        <w:t xml:space="preserve">Steven Obiajulu, J.D. edits this reviewer checklist for South Africa — employee-offer preparation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