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120"/>
      </w:pPr>
      <w:r>
        <w:rPr>
          <w:b/>
          <w:sz w:val="48"/>
          <w:szCs w:val="48"/>
        </w:rPr>
        <w:t xml:space="preserve">Hiring Reviewer Checklist — Nigeria</w:t>
      </w:r>
    </w:p>
    <w:p>
      <w:pPr>
        <w:spacing w:before="0" w:after="120"/>
      </w:pPr>
      <w:r>
        <w:rPr>
          <w:i/>
          <w:color w:val="444444"/>
        </w:rPr>
        <w:t xml:space="preserve">Review Nigerian hiring terms, worker coverage, written particulars, delivery, notice and onboarding questions before issuing an offer.</w:t>
      </w:r>
    </w:p>
    <w:p>
      <w:pPr>
        <w:spacing w:before="0" w:after="240"/>
      </w:pPr>
      <w:r>
        <w:rPr>
          <w:color w:val="666666"/>
          <w:sz w:val="18"/>
          <w:szCs w:val="18"/>
        </w:rPr>
        <w:t xml:space="preserve">By Steven Obiajulu, J.D. Last reviewed 2026-09-28. License: CC BY 4.0. https://openagreements.org/checklists/hiring/nigeria</w:t>
      </w:r>
    </w:p>
    <w:p>
      <w:pPr>
        <w:spacing w:before="0" w:after="120"/>
      </w:pPr>
      <w:r>
        <w:t xml:space="preserve">Use the </w:t>
      </w:r>
      <w:r>
        <w:t xml:space="preserve">Nigeria hiring guide</w:t>
      </w:r>
      <w:r>
        <w:t xml:space="preserve">. Apply each item to the actual hire and record unresolved questions.</w:t>
      </w:r>
    </w:p>
    <w:p>
      <w:pPr>
        <w:keepNext/>
        <w:spacing w:before="360" w:after="160"/>
      </w:pPr>
      <w:r>
        <w:rPr>
          <w:b/>
          <w:sz w:val="28"/>
          <w:szCs w:val="28"/>
        </w:rPr>
        <w:t xml:space="preserve">1. Coverage and employer</w:t>
      </w:r>
    </w:p>
    <w:p>
      <w:pPr>
        <w:keepNext/>
        <w:spacing w:before="200" w:after="80"/>
      </w:pPr>
      <w:r>
        <w:rPr>
          <w:rFonts w:ascii="Segoe UI Symbol" w:hAnsi="Segoe UI Symbol"/>
        </w:rPr>
        <w:t xml:space="preserve">☐  </w:t>
      </w:r>
      <w:r>
        <w:rPr>
          <w:b/>
        </w:rPr>
        <w:t xml:space="preserve">1.1  </w:t>
      </w:r>
      <w:r>
        <w:rPr>
          <w:b/>
        </w:rPr>
        <w:t xml:space="preserve">Labour Act worker coverage</w:t>
      </w:r>
      <w:r>
        <w:t xml:space="preserve"> — Recommended (SHOULD)</w:t>
      </w:r>
    </w:p>
    <w:p>
      <w:pPr>
        <w:spacing w:before="0" w:after="120"/>
        <w:ind w:left="540"/>
      </w:pPr>
      <w:r>
        <w:t xml:space="preserve">Record the actual duties and assess section 91, including every relevant exclusion. Do not assume all employees fall within the Act or that an excluded employee has no rights. If unresolved, flag which statutory rules cannot yet be applied.</w:t>
      </w:r>
    </w:p>
    <w:p>
      <w:pPr>
        <w:keepNext/>
        <w:spacing w:before="200" w:after="80"/>
      </w:pPr>
      <w:r>
        <w:rPr>
          <w:rFonts w:ascii="Segoe UI Symbol" w:hAnsi="Segoe UI Symbol"/>
        </w:rPr>
        <w:t xml:space="preserve">☐  </w:t>
      </w:r>
      <w:r>
        <w:rPr>
          <w:b/>
        </w:rPr>
        <w:t xml:space="preserve">1.2  </w:t>
      </w:r>
      <w:r>
        <w:rPr>
          <w:b/>
        </w:rPr>
        <w:t xml:space="preserve">Employer and engagement facts</w:t>
      </w:r>
      <w:r>
        <w:t xml:space="preserve"> — Recommended (SHOULD)</w:t>
      </w:r>
    </w:p>
    <w:p>
      <w:pPr>
        <w:spacing w:before="0" w:after="120"/>
        <w:ind w:left="540"/>
      </w:pPr>
      <w:r>
        <w:t xml:space="preserve">Record the legal employer, candidate, actual duties, reporting line, work location, start date and fixed-term expiry if relevant. Complete the agreed terms before sending the offer. This is a drafting safeguard, not a statutory coverage determination.</w:t>
      </w:r>
    </w:p>
    <w:p>
      <w:pPr>
        <w:keepNext/>
        <w:spacing w:before="360" w:after="160"/>
      </w:pPr>
      <w:r>
        <w:rPr>
          <w:b/>
          <w:sz w:val="28"/>
          <w:szCs w:val="28"/>
        </w:rPr>
        <w:t xml:space="preserve">2. Written terms and delivery</w:t>
      </w:r>
    </w:p>
    <w:p>
      <w:pPr>
        <w:keepNext/>
        <w:spacing w:before="200" w:after="80"/>
      </w:pPr>
      <w:r>
        <w:rPr>
          <w:rFonts w:ascii="Segoe UI Symbol" w:hAnsi="Segoe UI Symbol"/>
        </w:rPr>
        <w:t xml:space="preserve">☐  </w:t>
      </w:r>
      <w:r>
        <w:rPr>
          <w:b/>
        </w:rPr>
        <w:t xml:space="preserve">2.1  </w:t>
      </w:r>
      <w:r>
        <w:rPr>
          <w:b/>
        </w:rPr>
        <w:t xml:space="preserve">Required written particulars for covered workers</w:t>
      </w:r>
      <w:r>
        <w:t xml:space="preserve"> — Required (MUST)</w:t>
      </w:r>
    </w:p>
    <w:p>
      <w:pPr>
        <w:spacing w:before="0" w:after="120"/>
        <w:ind w:left="540"/>
      </w:pPr>
      <w:r>
        <w:t xml:space="preserve">Where section 7 applies, include every section 7(1) particular: employer and worker details, place/date of engagement, nature of work, fixed-term expiry, appropriate notice, wages/calculation/payment, hours, holiday and holiday pay, sickness or injury and sick pay, and special conditions.</w:t>
      </w:r>
    </w:p>
    <w:p>
      <w:pPr>
        <w:keepNext/>
        <w:spacing w:before="200" w:after="80"/>
      </w:pPr>
      <w:r>
        <w:rPr>
          <w:rFonts w:ascii="Segoe UI Symbol" w:hAnsi="Segoe UI Symbol"/>
        </w:rPr>
        <w:t xml:space="preserve">☐  </w:t>
      </w:r>
      <w:r>
        <w:rPr>
          <w:b/>
        </w:rPr>
        <w:t xml:space="preserve">2.2  </w:t>
      </w:r>
      <w:r>
        <w:rPr>
          <w:b/>
        </w:rPr>
        <w:t xml:space="preserve">Timely delivery and worker copy</w:t>
      </w:r>
      <w:r>
        <w:t xml:space="preserve"> — Required (MUST)</w:t>
      </w:r>
    </w:p>
    <w:p>
      <w:pPr>
        <w:spacing w:before="0" w:after="120"/>
        <w:ind w:left="540"/>
      </w:pPr>
      <w:r>
        <w:t xml:space="preserve">For a covered worker, give the section 7 statement within three months of starting. If relying on section 7(6), confirm that the written contract covers every required particular and the worker has a copy. Keep a delivery record as a practical safeguard.</w:t>
      </w:r>
    </w:p>
    <w:p>
      <w:pPr>
        <w:keepNext/>
        <w:spacing w:before="200" w:after="80"/>
      </w:pPr>
      <w:r>
        <w:rPr>
          <w:rFonts w:ascii="Segoe UI Symbol" w:hAnsi="Segoe UI Symbol"/>
        </w:rPr>
        <w:t xml:space="preserve">☐  </w:t>
      </w:r>
      <w:r>
        <w:rPr>
          <w:b/>
        </w:rPr>
        <w:t xml:space="preserve">2.3  </w:t>
      </w:r>
      <w:r>
        <w:rPr>
          <w:b/>
        </w:rPr>
        <w:t xml:space="preserve">Accessible policies and change records</w:t>
      </w:r>
      <w:r>
        <w:t xml:space="preserve"> — Required (MUST)</w:t>
      </w:r>
    </w:p>
    <w:p>
      <w:pPr>
        <w:spacing w:before="0" w:after="120"/>
        <w:ind w:left="540"/>
      </w:pPr>
      <w:r>
        <w:t xml:space="preserve">When section 7 applies, make referenced documents reasonably accessible. Communicate required changes within one month under section 7(2), or satisfy the specific advance-reference and timely-recording mechanism in section 7(4). Record versions and access; these disclosure rules do not by themselves authorize unilateral changes.</w:t>
      </w:r>
    </w:p>
    <w:p>
      <w:pPr>
        <w:keepNext/>
        <w:spacing w:before="200" w:after="80"/>
      </w:pPr>
      <w:r>
        <w:rPr>
          <w:rFonts w:ascii="Segoe UI Symbol" w:hAnsi="Segoe UI Symbol"/>
        </w:rPr>
        <w:t xml:space="preserve">☐  </w:t>
      </w:r>
      <w:r>
        <w:rPr>
          <w:b/>
        </w:rPr>
        <w:t xml:space="preserve">2.4  </w:t>
      </w:r>
      <w:r>
        <w:rPr>
          <w:b/>
        </w:rPr>
        <w:t xml:space="preserve">Notice clause and termination process</w:t>
      </w:r>
      <w:r>
        <w:t xml:space="preserve"> — Recommended (SHOULD)</w:t>
      </w:r>
    </w:p>
    <w:p>
      <w:pPr>
        <w:spacing w:before="0" w:after="120"/>
        <w:ind w:left="540"/>
      </w:pPr>
      <w:r>
        <w:t xml:space="preserve">State an express notice clause. For covered contracts, check section 11: one day up to three months; one week over three months but under two years; two weeks from two years to under five; one month from five years. Notice of at least one week must be written; the notice day is excluded. Assess the rest of section 11 and other applicable rules before termination. Do not import a U.S. at-will clause.</w:t>
      </w:r>
    </w:p>
    <w:p>
      <w:pPr>
        <w:keepNext/>
        <w:spacing w:before="360" w:after="160"/>
      </w:pPr>
      <w:r>
        <w:rPr>
          <w:b/>
          <w:sz w:val="28"/>
          <w:szCs w:val="28"/>
        </w:rPr>
        <w:t xml:space="preserve">3. Onboarding and unresolved work</w:t>
      </w:r>
    </w:p>
    <w:p>
      <w:pPr>
        <w:keepNext/>
        <w:spacing w:before="200" w:after="80"/>
      </w:pPr>
      <w:r>
        <w:rPr>
          <w:rFonts w:ascii="Segoe UI Symbol" w:hAnsi="Segoe UI Symbol"/>
        </w:rPr>
        <w:t xml:space="preserve">☐  </w:t>
      </w:r>
      <w:r>
        <w:rPr>
          <w:b/>
        </w:rPr>
        <w:t xml:space="preserve">3.1  </w:t>
      </w:r>
      <w:r>
        <w:rPr>
          <w:b/>
        </w:rPr>
        <w:t xml:space="preserve">Medical-examination operations</w:t>
      </w:r>
      <w:r>
        <w:t xml:space="preserve"> — Recommended (SHOULD)</w:t>
      </w:r>
    </w:p>
    <w:p>
      <w:pPr>
        <w:spacing w:before="0" w:after="120"/>
        <w:ind w:left="540"/>
      </w:pPr>
      <w:r>
        <w:t xml:space="preserve">Before the start date, resolve worker coverage and section 8: registered practitioner, employer expense, any applicable State Authority exemption order and the examination process. Do not assume a statutory category is an automatic exemption. Separately determine medical-data handling requirements; current orders and privacy rules are outside this checklist.</w:t>
      </w:r>
    </w:p>
    <w:p>
      <w:pPr>
        <w:keepNext/>
        <w:spacing w:before="200" w:after="80"/>
      </w:pPr>
      <w:r>
        <w:rPr>
          <w:rFonts w:ascii="Segoe UI Symbol" w:hAnsi="Segoe UI Symbol"/>
        </w:rPr>
        <w:t xml:space="preserve">☐  </w:t>
      </w:r>
      <w:r>
        <w:rPr>
          <w:b/>
        </w:rPr>
        <w:t xml:space="preserve">3.2  </w:t>
      </w:r>
      <w:r>
        <w:rPr>
          <w:b/>
        </w:rPr>
        <w:t xml:space="preserve">Post-employment restraint assessment</w:t>
      </w:r>
      <w:r>
        <w:t xml:space="preserve"> — Avoid (SHOULD NOT)</w:t>
      </w:r>
    </w:p>
    <w:p>
      <w:pPr>
        <w:spacing w:before="0" w:after="120"/>
        <w:ind w:left="540"/>
      </w:pPr>
      <w:r>
        <w:t xml:space="preserve">Include a post-termination non-compete in the base offer for this resource. This is a drafting safeguard, not a statement that all Nigerian restraints are prohibited. If one is proposed separately, document the business interest and employee access, proposed scope and verified authority. FCCPA section 68(1)(e) is not a blanket two-year safe harbor. No La Casera holding or 2026 exposure-draft rule is adopted.</w:t>
      </w:r>
    </w:p>
    <w:p>
      <w:pPr>
        <w:keepNext/>
        <w:spacing w:before="200" w:after="80"/>
      </w:pPr>
      <w:r>
        <w:rPr>
          <w:rFonts w:ascii="Segoe UI Symbol" w:hAnsi="Segoe UI Symbol"/>
        </w:rPr>
        <w:t xml:space="preserve">☐  </w:t>
      </w:r>
      <w:r>
        <w:rPr>
          <w:b/>
        </w:rPr>
        <w:t xml:space="preserve">3.3  </w:t>
      </w:r>
      <w:r>
        <w:rPr>
          <w:b/>
        </w:rPr>
        <w:t xml:space="preserve">Other hiring workstreams</w:t>
      </w:r>
      <w:r>
        <w:t xml:space="preserve"> — Recommended (SHOULD)</w:t>
      </w:r>
    </w:p>
    <w:p>
      <w:pPr>
        <w:spacing w:before="0" w:after="120"/>
        <w:ind w:left="540"/>
      </w:pPr>
      <w:r>
        <w:t xml:space="preserve">Assign payroll, minimum-wage, pension, immigration, equity, IP ownership, employee-data, collective-agreement and sector reviews for the actual hire. This checklist does not verify those regimes or certify all-law compliance.</w:t>
      </w:r>
    </w:p>
    <w:p>
      <w:pPr>
        <w:keepNext/>
        <w:spacing w:before="200" w:after="80"/>
      </w:pPr>
      <w:r>
        <w:rPr>
          <w:rFonts w:ascii="Segoe UI Symbol" w:hAnsi="Segoe UI Symbol"/>
        </w:rPr>
        <w:t xml:space="preserve">☐  </w:t>
      </w:r>
      <w:r>
        <w:rPr>
          <w:b/>
        </w:rPr>
        <w:t xml:space="preserve">3.4  </w:t>
      </w:r>
      <w:r>
        <w:rPr>
          <w:b/>
        </w:rPr>
        <w:t xml:space="preserve">Source and decision record</w:t>
      </w:r>
      <w:r>
        <w:t xml:space="preserve"> — Recommended (SHOULD)</w:t>
      </w:r>
    </w:p>
    <w:p>
      <w:pPr>
        <w:spacing w:before="0" w:after="120"/>
        <w:ind w:left="540"/>
      </w:pPr>
      <w:r>
        <w:t xml:space="preserve">MUST items state conditional duties from the cited Labour Act provisions; SHOULD and SHOULD NOT items are practical safeguards for this limited resource. Record the result, person responsible and unresolved question for each item. The sources below were directly retrieved on 28 September 2026; no local-lawyer review or comprehensive compliance assessment is claimed.</w:t>
      </w:r>
    </w:p>
    <w:p>
      <w:pPr>
        <w:spacing w:before="0" w:after="120"/>
        <w:ind w:left="540"/>
      </w:pPr>
      <w:r>
        <w:t xml:space="preserve">The source-capture dates, hashes and specific limitations appear in the guide's </w:t>
      </w:r>
      <w:r>
        <w:t xml:space="preserve">sources and limits</w:t>
      </w:r>
      <w:r>
        <w:t xml:space="preserve">. For a proposed service-contract restraint, separately read </w:t>
      </w:r>
      <w:r>
        <w:t xml:space="preserve">FCCPA 2018 section 68(1)(e)</w:t>
      </w:r>
      <w:r>
        <w:t xml:space="preserve">, PDF page 37, printed A35, and verify the relevant restraint authorities. The held source set does not establish general enforceability or a permitted duration.</w:t>
      </w:r>
    </w:p>
    <w:p>
      <w:pPr>
        <w:spacing w:before="0" w:after="120"/>
        <w:ind w:left="540"/>
      </w:pPr>
      <w:r>
        <w:t xml:space="preserve">Retain the source versions, verification dates, coverage reasoning, completed terms, delivered policies and remaining questions. Check for operative amendments and applicable State/sector rules before relying on a provision. A completed checklist is not proof of legal clearance.</w:t>
      </w:r>
    </w:p>
    <w:p>
      <w:pPr>
        <w:spacing w:before="360" w:after="0"/>
      </w:pPr>
      <w:r>
        <w:rPr>
          <w:color w:val="666666"/>
          <w:sz w:val="16"/>
          <w:szCs w:val="16"/>
        </w:rPr>
        <w:t xml:space="preserve">Steven Obiajulu, J.D. edits this reviewer checklist for Nigeria — written employment terms and onboarding coverage. It synthesizes legal sources and is not legal advice. This article is for informational purposes only and does not create an attorney-client relationship.</w:t>
      </w:r>
    </w:p>
    <w:sectPr>
      <w:pgSz w:w="12240" w:h="15840"/>
      <w:pgMar w:top="1440" w:right="1440" w:bottom="1440" w:left="1440"/>
    </w:sectPr>
  </w:body>
</w:document>
</file>

<file path=word/styles.xml><?xml version="1.0" encoding="utf-8"?>
<w:styles xmlns:w="http://schemas.openxmlformats.org/wordprocessingml/2006/main">
  <w:docDefaults>
    <w:rPrDefault>
      <w:rPr>
        <w:rFonts w:ascii="Calibri" w:hAnsi="Calibri"/>
        <w:sz w:val="22"/>
        <w:szCs w:val="22"/>
      </w:rPr>
    </w:rPrDefault>
    <w:pPrDefault>
      <w:pPr>
        <w:spacing w:after="120" w:line="276" w:lineRule="auto"/>
      </w:pPr>
    </w:p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