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Private Placement Memorandum Reviewer Checklist</w:t>
      </w:r>
    </w:p>
    <w:p>
      <w:pPr>
        <w:spacing w:before="0" w:after="120"/>
      </w:pPr>
      <w:r>
        <w:rPr>
          <w:i/>
          <w:color w:val="444444"/>
        </w:rPr>
        <w:t xml:space="preserve">A section-by-section reviewer checklist for a hedge fund private placement memorandum, a hedge fund here meaning an open-end private investment fund organized as a Delaware limited partnership and relying on Section 3(c)(1): the summary of principal terms, what the investor actually pays, how and when money comes back, the offering exemption and investor-eligibility gates, strategy and risk disclosure, conflicts of interest, valuation and reporting, and the tax, ERISA, and anti-money-laundering disclosures.</w:t>
      </w:r>
    </w:p>
    <w:p>
      <w:pPr>
        <w:spacing w:before="0" w:after="240"/>
      </w:pPr>
      <w:r>
        <w:rPr>
          <w:color w:val="666666"/>
          <w:sz w:val="18"/>
          <w:szCs w:val="18"/>
        </w:rPr>
        <w:t xml:space="preserve">By Steven Obiajulu, J.D. Last reviewed 2026-09-02. License: CC BY 4.0. https://openagreements.org/checklists/fund-formation/hedge-fund-private-placement-memorandum</w:t>
      </w:r>
    </w:p>
    <w:p>
      <w:pPr>
        <w:spacing w:before="0" w:after="120"/>
      </w:pPr>
      <w:r>
        <w:t xml:space="preserve">This checklist is written first for the manager of an emerging or small hedge fund who is preparing the private placement memorandum, and second for a smaller investor reading it without counsel of their own. A manager uses the items to keep the memorandum consistent with the limited partnership agreement and free of misleading statements or omissions. An investor uses the same items to find the fees, withdrawal limits, conflicts, and risks the memorandum states, and to notice what it leaves out.</w:t>
      </w:r>
    </w:p>
    <w:p>
      <w:pPr>
        <w:spacing w:before="0" w:after="120"/>
      </w:pPr>
      <w:r>
        <w:t xml:space="preserve">Every item reads a private placement memorandum for a fully funded, open-end U.S. private investment fund, testing its content and internal consistency. It does not cover closed-end drawdown funds, the limited partnership agreement, the subscription agreement, marketing conduct, investor diligence, notice filings, or closing compliance. The </w:t>
      </w:r>
      <w:r>
        <w:t xml:space="preserve">hedge fund formation practice guide</w:t>
      </w:r>
      <w:r>
        <w:t xml:space="preserve"> explains the Securities Act, Investment Company Act, and Investment Advisers Act rules behind the items.</w:t>
      </w:r>
    </w:p>
    <w:p>
      <w:pPr>
        <w:spacing w:before="0" w:after="120"/>
      </w:pPr>
      <w:r>
        <w:t xml:space="preserve">Completing it does not establish compliance with the antifraud provisions below, an exemption from registration, or that any statement, omission, conflict, or risk is material — all facts-and-circumstances judgments for counsel.</w:t>
      </w:r>
    </w:p>
    <w:p>
      <w:pPr>
        <w:keepNext/>
        <w:spacing w:before="360" w:after="160"/>
      </w:pPr>
      <w:r>
        <w:rPr>
          <w:b/>
          <w:sz w:val="28"/>
          <w:szCs w:val="28"/>
        </w:rPr>
        <w:t xml:space="preserve">1. The summary of principal terms</w:t>
      </w:r>
    </w:p>
    <w:p>
      <w:pPr>
        <w:keepNext/>
        <w:spacing w:before="200" w:after="80"/>
      </w:pPr>
      <w:r>
        <w:rPr>
          <w:rFonts w:ascii="Segoe UI Symbol" w:hAnsi="Segoe UI Symbol"/>
        </w:rPr>
        <w:t xml:space="preserve">☐  </w:t>
      </w:r>
      <w:r>
        <w:rPr>
          <w:b/>
        </w:rPr>
        <w:t xml:space="preserve">1.1  </w:t>
      </w:r>
      <w:r>
        <w:rPr>
          <w:b/>
        </w:rPr>
        <w:t xml:space="preserve">A summary of principal terms leads the document</w:t>
      </w:r>
      <w:r>
        <w:t xml:space="preserve"> — Recommended (SHOULD)</w:t>
      </w:r>
    </w:p>
    <w:p>
      <w:pPr>
        <w:spacing w:before="0" w:after="120"/>
        <w:ind w:left="540"/>
      </w:pPr>
      <w:r>
        <w:t xml:space="preserve">Confirm the memorandum opens with a summary of principal terms (a table or a run of short captioned paragraphs stating the fund's structure, minimum investment, fees, lock-up, withdrawal rights, and fiscal year) before the narrative sections. This is the part investors actually read and compare, and its absence forces a reader to reconstruct the deal from prose scattered across sixty pages. The summary is not a substitute for the body: it should say so, and say that the partnership agreement and subscription documents govern.</w:t>
      </w:r>
    </w:p>
    <w:p>
      <w:pPr>
        <w:keepNext/>
        <w:spacing w:before="200" w:after="80"/>
      </w:pPr>
      <w:r>
        <w:rPr>
          <w:rFonts w:ascii="Segoe UI Symbol" w:hAnsi="Segoe UI Symbol"/>
        </w:rPr>
        <w:t xml:space="preserve">☐  </w:t>
      </w:r>
      <w:r>
        <w:rPr>
          <w:b/>
        </w:rPr>
        <w:t xml:space="preserve">1.2  </w:t>
      </w:r>
      <w:r>
        <w:rPr>
          <w:b/>
        </w:rPr>
        <w:t xml:space="preserve">Every summary term traced back to the governing documents</w:t>
      </w:r>
      <w:r>
        <w:t xml:space="preserve"> — Recommended (SHOULD)</w:t>
      </w:r>
    </w:p>
    <w:p>
      <w:pPr>
        <w:spacing w:before="0" w:after="120"/>
        <w:ind w:left="540"/>
      </w:pPr>
      <w:r>
        <w:t xml:space="preserve">Read each line of the summary against the limited partnership agreement it purports to summarize, and against the fee, withdrawal, and allocation sections of the memorandum itself. Drift between the summary and the governing documents is a consequential substantive defect, because the summary is what the investor relied on while the partnership agreement is what controls. Three numbers deserve a line-by-line trace: the incentive allocation rate and its crystallization period, the withdrawal notice period, and the definition of net asset value the fee is charged on.</w:t>
      </w:r>
    </w:p>
    <w:p>
      <w:pPr>
        <w:keepNext/>
        <w:spacing w:before="200" w:after="80"/>
      </w:pPr>
      <w:r>
        <w:rPr>
          <w:rFonts w:ascii="Segoe UI Symbol" w:hAnsi="Segoe UI Symbol"/>
        </w:rPr>
        <w:t xml:space="preserve">☐  </w:t>
      </w:r>
      <w:r>
        <w:rPr>
          <w:b/>
        </w:rPr>
        <w:t xml:space="preserve">1.3  </w:t>
      </w:r>
      <w:r>
        <w:rPr>
          <w:b/>
        </w:rPr>
        <w:t xml:space="preserve">Entity, domicile, and any master-feeder or parallel structure named</w:t>
      </w:r>
      <w:r>
        <w:t xml:space="preserve"> — Recommended (SHOULD)</w:t>
      </w:r>
    </w:p>
    <w:p>
      <w:pPr>
        <w:spacing w:before="0" w:after="120"/>
        <w:ind w:left="540"/>
      </w:pPr>
      <w:r>
        <w:t xml:space="preserve">Confirm the memorandum names the offering entity, its form and state or country of organization, and (where the fund invests through a master fund, a parallel vehicle, or a trading subsidiary) describes that structure and where the assets and the fees actually sit. A feeder's investors bear expenses at both levels, and a memorandum that describes only the feeder understates what the investor pays and misstates where the investment risk is taken.</w:t>
      </w:r>
    </w:p>
    <w:p>
      <w:pPr>
        <w:keepNext/>
        <w:spacing w:before="200" w:after="80"/>
      </w:pPr>
      <w:r>
        <w:rPr>
          <w:rFonts w:ascii="Segoe UI Symbol" w:hAnsi="Segoe UI Symbol"/>
        </w:rPr>
        <w:t xml:space="preserve">☐  </w:t>
      </w:r>
      <w:r>
        <w:rPr>
          <w:b/>
        </w:rPr>
        <w:t xml:space="preserve">1.4  </w:t>
      </w:r>
      <w:r>
        <w:rPr>
          <w:b/>
        </w:rPr>
        <w:t xml:space="preserve">Multiple classes or series named, with what differs between them</w:t>
      </w:r>
      <w:r>
        <w:t xml:space="preserve"> — Recommended (SHOULD)</w:t>
      </w:r>
    </w:p>
    <w:p>
      <w:pPr>
        <w:spacing w:before="0" w:after="120"/>
        <w:ind w:left="540"/>
      </w:pPr>
      <w:r>
        <w:t xml:space="preserve">Where the fund may issue more than one class or series of interests, confirm the memorandum says so, states what differs between them (management fee, performance allocation, lock-up and withdrawal rights, currency exposure) and says who may create a further class and on what notice. A single stated fee rate in a multi-class fund understates the range an investor could be offered. The reservation itself is the disclosure to read closely: where the general partner may create classes with different fees and withdrawal rights without notice to or approval of the limited partners, the summary states the terms of one class on one day rather than the terms of the fund. Where a fund runs several portfolios or sub-series with genuinely different liquidity, confirm the summary of terms distinguishes them instead of averaging them.</w:t>
      </w:r>
    </w:p>
    <w:p>
      <w:pPr>
        <w:keepNext/>
        <w:spacing w:before="200" w:after="80"/>
      </w:pPr>
      <w:r>
        <w:rPr>
          <w:rFonts w:ascii="Segoe UI Symbol" w:hAnsi="Segoe UI Symbol"/>
        </w:rPr>
        <w:t xml:space="preserve">☐  </w:t>
      </w:r>
      <w:r>
        <w:rPr>
          <w:b/>
        </w:rPr>
        <w:t xml:space="preserve">1.5  </w:t>
      </w:r>
      <w:r>
        <w:rPr>
          <w:b/>
        </w:rPr>
        <w:t xml:space="preserve">Minimum investment stated, with the manager's discretion to waive it</w:t>
      </w:r>
      <w:r>
        <w:t xml:space="preserve"> — Recommended (SHOULD)</w:t>
      </w:r>
    </w:p>
    <w:p>
      <w:pPr>
        <w:spacing w:before="0" w:after="120"/>
        <w:ind w:left="540"/>
      </w:pPr>
      <w:r>
        <w:t xml:space="preserve">Confirm the memorandum states the minimum initial subscription and any minimum for additional subscriptions, and says plainly whether the general partner may waive or reduce them. A disclosed waiver power is unobjectionable; an unstated one is not, because a waived minimum for one investor is a preferential term the other investors were never told about.</w:t>
      </w:r>
    </w:p>
    <w:p>
      <w:pPr>
        <w:keepNext/>
        <w:spacing w:before="200" w:after="80"/>
      </w:pPr>
      <w:r>
        <w:rPr>
          <w:rFonts w:ascii="Segoe UI Symbol" w:hAnsi="Segoe UI Symbol"/>
        </w:rPr>
        <w:t xml:space="preserve">☐  </w:t>
      </w:r>
      <w:r>
        <w:rPr>
          <w:b/>
        </w:rPr>
        <w:t xml:space="preserve">1.6  </w:t>
      </w:r>
      <w:r>
        <w:rPr>
          <w:b/>
        </w:rPr>
        <w:t xml:space="preserve">What the sponsor has put into its own fund</w:t>
      </w:r>
      <w:r>
        <w:t xml:space="preserve"> — Recommended (SHOULD)</w:t>
      </w:r>
    </w:p>
    <w:p>
      <w:pPr>
        <w:spacing w:before="0" w:after="120"/>
        <w:ind w:left="540"/>
      </w:pPr>
      <w:r>
        <w:t xml:space="preserve">Check whether the memorandum says what the general partner, the manager, or their principals have invested or intend to invest in the fund, and in what form. The statement may be a flat dollar figure or only an unquantified intention to invest, and the two cannot be compared with each other; a memorandum may also say nothing at all. Where an amount is given, confirm it is a commitment rather than an expectation, and check whether that capital carries the same fees, lock-up, and withdrawal terms an investor's does: a general partner free to withdraw its capital at any time makes a weaker alignment claim than the dollar figure alone suggests.</w:t>
      </w:r>
    </w:p>
    <w:p>
      <w:pPr>
        <w:keepNext/>
        <w:spacing w:before="360" w:after="160"/>
      </w:pPr>
      <w:r>
        <w:rPr>
          <w:b/>
          <w:sz w:val="28"/>
          <w:szCs w:val="28"/>
        </w:rPr>
        <w:t xml:space="preserve">2. What the investor actually pays</w:t>
      </w:r>
    </w:p>
    <w:p>
      <w:pPr>
        <w:keepNext/>
        <w:spacing w:before="200" w:after="80"/>
      </w:pPr>
      <w:r>
        <w:rPr>
          <w:rFonts w:ascii="Segoe UI Symbol" w:hAnsi="Segoe UI Symbol"/>
        </w:rPr>
        <w:t xml:space="preserve">☐  </w:t>
      </w:r>
      <w:r>
        <w:rPr>
          <w:b/>
        </w:rPr>
        <w:t xml:space="preserve">2.1  </w:t>
      </w:r>
      <w:r>
        <w:rPr>
          <w:b/>
        </w:rPr>
        <w:t xml:space="preserve">Management fee rate, basis, and timing stated, including its absence</w:t>
      </w:r>
      <w:r>
        <w:t xml:space="preserve"> — Recommended (SHOULD)</w:t>
      </w:r>
    </w:p>
    <w:p>
      <w:pPr>
        <w:spacing w:before="0" w:after="120"/>
        <w:ind w:left="540"/>
      </w:pPr>
      <w:r>
        <w:t xml:space="preserve">Confirm the memorandum states the management fee rate, basis, accrual period, payment timing, proration, and the vehicle level at which it is charged, or says expressly that no asset-based management fee is charged.</w:t>
      </w:r>
    </w:p>
    <w:p>
      <w:pPr>
        <w:keepNext/>
        <w:spacing w:before="200" w:after="80"/>
      </w:pPr>
      <w:r>
        <w:rPr>
          <w:rFonts w:ascii="Segoe UI Symbol" w:hAnsi="Segoe UI Symbol"/>
        </w:rPr>
        <w:t xml:space="preserve">☐  </w:t>
      </w:r>
      <w:r>
        <w:rPr>
          <w:b/>
        </w:rPr>
        <w:t xml:space="preserve">2.2  </w:t>
      </w:r>
      <w:r>
        <w:rPr>
          <w:b/>
        </w:rPr>
        <w:t xml:space="preserve">Performance allocation and crystallization stated, including its absence</w:t>
      </w:r>
      <w:r>
        <w:t xml:space="preserve"> — Recommended (SHOULD)</w:t>
      </w:r>
    </w:p>
    <w:p>
      <w:pPr>
        <w:spacing w:before="0" w:after="120"/>
        <w:ind w:left="540"/>
      </w:pPr>
      <w:r>
        <w:t xml:space="preserve">Confirm the memorandum states the performance or incentive allocation rate, measurement period, crystallization events, investor-level or fund-level calculation, and treatment of realized and unrealized gains, or says expressly that no performance allocation is charged.</w:t>
      </w:r>
    </w:p>
    <w:p>
      <w:pPr>
        <w:keepNext/>
        <w:spacing w:before="200" w:after="80"/>
      </w:pPr>
      <w:r>
        <w:rPr>
          <w:rFonts w:ascii="Segoe UI Symbol" w:hAnsi="Segoe UI Symbol"/>
        </w:rPr>
        <w:t xml:space="preserve">☐  </w:t>
      </w:r>
      <w:r>
        <w:rPr>
          <w:b/>
        </w:rPr>
        <w:t xml:space="preserve">2.3  </w:t>
      </w:r>
      <w:r>
        <w:rPr>
          <w:b/>
        </w:rPr>
        <w:t xml:space="preserve">Hurdle and high-water mark stated: including their absence</w:t>
      </w:r>
      <w:r>
        <w:t xml:space="preserve"> — Recommended (SHOULD)</w:t>
      </w:r>
    </w:p>
    <w:p>
      <w:pPr>
        <w:spacing w:before="0" w:after="120"/>
        <w:ind w:left="540"/>
      </w:pPr>
      <w:r>
        <w:t xml:space="preserve">Confirm the memorandum says whether the incentive allocation is subject to a preferred return or hurdle rate and to a loss carryforward or high-water mark, and describes what happens to a loss carryforward on a partial withdrawal. Where there is no hurdle or no high-water mark, the memorandum should say so in terms: silence can read as a high-water mark that is not there.</w:t>
      </w:r>
    </w:p>
    <w:p>
      <w:pPr>
        <w:keepNext/>
        <w:spacing w:before="200" w:after="80"/>
      </w:pPr>
      <w:r>
        <w:rPr>
          <w:rFonts w:ascii="Segoe UI Symbol" w:hAnsi="Segoe UI Symbol"/>
        </w:rPr>
        <w:t xml:space="preserve">☐  </w:t>
      </w:r>
      <w:r>
        <w:rPr>
          <w:b/>
        </w:rPr>
        <w:t xml:space="preserve">2.4  </w:t>
      </w:r>
      <w:r>
        <w:rPr>
          <w:b/>
        </w:rPr>
        <w:t xml:space="preserve">Rule 205-3 qualified-client standard applied to the performance allocation</w:t>
      </w:r>
      <w:r>
        <w:t xml:space="preserve"> — Required (MUST)</w:t>
      </w:r>
    </w:p>
    <w:p>
      <w:pPr>
        <w:spacing w:before="0" w:after="120"/>
        <w:ind w:left="540"/>
      </w:pPr>
      <w:r>
        <w:t xml:space="preserve">If the adviser is registered or required to be registered with the Commission and charges a performance allocation, confirm the contract limits that compensation to clients permitted by Advisers Act section 205(a)(1) and Rule 205-3 when section 205(a)(1) applies. For a section 3(c)(1) fund, test each equity owner charged the allocation. Section 205(b)(4) makes section 205(a)(1) inapplicable to an advisory contract with a section 3(c)(7) fund; a separate contract or state rule may still require a qualified-client screen. A state-registered adviser requires a separate state-law analysis. Use the current Commission order for indexed thresholds and record the as-of date.</w:t>
      </w:r>
    </w:p>
    <w:p>
      <w:pPr>
        <w:keepNext/>
        <w:spacing w:before="200" w:after="80"/>
      </w:pPr>
      <w:r>
        <w:rPr>
          <w:rFonts w:ascii="Segoe UI Symbol" w:hAnsi="Segoe UI Symbol"/>
        </w:rPr>
        <w:t xml:space="preserve">☐  </w:t>
      </w:r>
      <w:r>
        <w:rPr>
          <w:b/>
        </w:rPr>
        <w:t xml:space="preserve">2.5  </w:t>
      </w:r>
      <w:r>
        <w:rPr>
          <w:b/>
        </w:rPr>
        <w:t xml:space="preserve">Fund-borne expenses itemized, and manager-borne expenses named</w:t>
      </w:r>
      <w:r>
        <w:t xml:space="preserve"> — Recommended (SHOULD)</w:t>
      </w:r>
    </w:p>
    <w:p>
      <w:pPr>
        <w:spacing w:before="0" w:after="120"/>
        <w:ind w:left="540"/>
      </w:pPr>
      <w:r>
        <w:t xml:space="preserve">Confirm the memorandum itemizes the expenses charged to the fund (brokerage and transaction costs, administration, audit, legal, custody, research, insurance, regulatory filings, and any allocated technology or operations charge) and separately names what the manager pays out of its own fee. An open-ended catch-all such as </w:t>
      </w:r>
      <w:r>
        <w:rPr>
          <w:i/>
        </w:rPr>
        <w:t xml:space="preserve">and all other expenses of the fund</w:t>
      </w:r>
      <w:r>
        <w:t xml:space="preserve"> is the item to push on, because it is where overhead migrates from the manager's fee to the investor's capital account.</w:t>
      </w:r>
    </w:p>
    <w:p>
      <w:pPr>
        <w:keepNext/>
        <w:spacing w:before="200" w:after="80"/>
      </w:pPr>
      <w:r>
        <w:rPr>
          <w:rFonts w:ascii="Segoe UI Symbol" w:hAnsi="Segoe UI Symbol"/>
        </w:rPr>
        <w:t xml:space="preserve">☐  </w:t>
      </w:r>
      <w:r>
        <w:rPr>
          <w:b/>
        </w:rPr>
        <w:t xml:space="preserve">2.6  </w:t>
      </w:r>
      <w:r>
        <w:rPr>
          <w:b/>
        </w:rPr>
        <w:t xml:space="preserve">Organizational and offering expenses: amount, cap, and amortization</w:t>
      </w:r>
      <w:r>
        <w:t xml:space="preserve"> — Recommended (SHOULD)</w:t>
      </w:r>
    </w:p>
    <w:p>
      <w:pPr>
        <w:spacing w:before="0" w:after="120"/>
        <w:ind w:left="540"/>
      </w:pPr>
      <w:r>
        <w:t xml:space="preserve">Confirm the memorandum states who bears the fund's organizational and offering expenses, any cap on them, and whether they are expensed as incurred or amortized over a stated period. Amortization is a real economic term, not an accounting footnote: it shifts formation cost from early investors onto later ones, and it can put the memorandum's stated net asset value at odds with the audited financial statements, which is worth flagging where the fund also promises audited statements prepared under U.S. generally accepted accounting principles.</w:t>
      </w:r>
    </w:p>
    <w:p>
      <w:pPr>
        <w:keepNext/>
        <w:spacing w:before="200" w:after="80"/>
      </w:pPr>
      <w:r>
        <w:rPr>
          <w:rFonts w:ascii="Segoe UI Symbol" w:hAnsi="Segoe UI Symbol"/>
        </w:rPr>
        <w:t xml:space="preserve">☐  </w:t>
      </w:r>
      <w:r>
        <w:rPr>
          <w:b/>
        </w:rPr>
        <w:t xml:space="preserve">2.7  </w:t>
      </w:r>
      <w:r>
        <w:rPr>
          <w:b/>
        </w:rPr>
        <w:t xml:space="preserve">Placement agent and selling compensation disclosed, and who pays it</w:t>
      </w:r>
      <w:r>
        <w:t xml:space="preserve"> — Recommended (SHOULD)</w:t>
      </w:r>
    </w:p>
    <w:p>
      <w:pPr>
        <w:spacing w:before="0" w:after="120"/>
        <w:ind w:left="540"/>
      </w:pPr>
      <w:r>
        <w:t xml:space="preserve">Where the fund uses a placement agent, an affiliated marketer, or a solicitor, confirm the memorandum discloses the compensation arrangement and says whether it is borne by the fund, by the manager, or charged to the subscribing investor. Investor-level selling charges that reduce the amount actually invested belong in the summary of terms, not only in a later section.</w:t>
      </w:r>
    </w:p>
    <w:p>
      <w:pPr>
        <w:keepNext/>
        <w:spacing w:before="360" w:after="160"/>
      </w:pPr>
      <w:r>
        <w:rPr>
          <w:b/>
          <w:sz w:val="28"/>
          <w:szCs w:val="28"/>
        </w:rPr>
        <w:t xml:space="preserve">3. How and when money comes back</w:t>
      </w:r>
    </w:p>
    <w:p>
      <w:pPr>
        <w:keepNext/>
        <w:spacing w:before="200" w:after="80"/>
      </w:pPr>
      <w:r>
        <w:rPr>
          <w:rFonts w:ascii="Segoe UI Symbol" w:hAnsi="Segoe UI Symbol"/>
        </w:rPr>
        <w:t xml:space="preserve">☐  </w:t>
      </w:r>
      <w:r>
        <w:rPr>
          <w:b/>
        </w:rPr>
        <w:t xml:space="preserve">3.1  </w:t>
      </w:r>
      <w:r>
        <w:rPr>
          <w:b/>
        </w:rPr>
        <w:t xml:space="preserve">Lock-up and withdrawal dates stated, with the manager's discretion to waive</w:t>
      </w:r>
      <w:r>
        <w:t xml:space="preserve"> — Recommended (SHOULD)</w:t>
      </w:r>
    </w:p>
    <w:p>
      <w:pPr>
        <w:spacing w:before="0" w:after="120"/>
        <w:ind w:left="540"/>
      </w:pPr>
      <w:r>
        <w:t xml:space="preserve">Confirm the memorandum states any initial lock-up, whether it is a hard lock or a soft lock payable with a fee, whether it runs per subscription or per investor, and on what dates withdrawals are permitted once it lapses. Confirm it also says whether the general partner may waive the lock-up, since a waivable lock-up that is silently waived for some investors is a preferential-liquidity term the rest of the fund is bearing.</w:t>
      </w:r>
    </w:p>
    <w:p>
      <w:pPr>
        <w:keepNext/>
        <w:spacing w:before="200" w:after="80"/>
      </w:pPr>
      <w:r>
        <w:rPr>
          <w:rFonts w:ascii="Segoe UI Symbol" w:hAnsi="Segoe UI Symbol"/>
        </w:rPr>
        <w:t xml:space="preserve">☐  </w:t>
      </w:r>
      <w:r>
        <w:rPr>
          <w:b/>
        </w:rPr>
        <w:t xml:space="preserve">3.2  </w:t>
      </w:r>
      <w:r>
        <w:rPr>
          <w:b/>
        </w:rPr>
        <w:t xml:space="preserve">Notice period and payment timing stated, including any holdback</w:t>
      </w:r>
      <w:r>
        <w:t xml:space="preserve"> — Recommended (SHOULD)</w:t>
      </w:r>
    </w:p>
    <w:p>
      <w:pPr>
        <w:spacing w:before="0" w:after="120"/>
        <w:ind w:left="540"/>
      </w:pPr>
      <w:r>
        <w:t xml:space="preserve">Confirm the memorandum states the written-notice period a withdrawal requires, when proceeds are paid after the withdrawal date, and whether a portion is held back pending the annual audit. A holdback is ordinary; an undisclosed one is the disclosure defect. Trace the notice period against the partnership agreement: the two documents can drift on this term.</w:t>
      </w:r>
    </w:p>
    <w:p>
      <w:pPr>
        <w:keepNext/>
        <w:spacing w:before="200" w:after="80"/>
      </w:pPr>
      <w:r>
        <w:rPr>
          <w:rFonts w:ascii="Segoe UI Symbol" w:hAnsi="Segoe UI Symbol"/>
        </w:rPr>
        <w:t xml:space="preserve">☐  </w:t>
      </w:r>
      <w:r>
        <w:rPr>
          <w:b/>
        </w:rPr>
        <w:t xml:space="preserve">3.3  </w:t>
      </w:r>
      <w:r>
        <w:rPr>
          <w:b/>
        </w:rPr>
        <w:t xml:space="preserve">Redemption gates and cutback mechanics stated, including their absence</w:t>
      </w:r>
      <w:r>
        <w:t xml:space="preserve"> — Recommended (SHOULD)</w:t>
      </w:r>
    </w:p>
    <w:p>
      <w:pPr>
        <w:spacing w:before="0" w:after="120"/>
        <w:ind w:left="540"/>
      </w:pPr>
      <w:r>
        <w:t xml:space="preserve">Confirm the memorandum states whether an investor-level or fund-level redemption gate applies. If one applies, record the percentage, measurement level and date, allocation of cutbacks, treatment of unfilled requests, and any waiver discretion; if none applies, confirm it says so expressly.</w:t>
      </w:r>
    </w:p>
    <w:p>
      <w:pPr>
        <w:keepNext/>
        <w:spacing w:before="200" w:after="80"/>
      </w:pPr>
      <w:r>
        <w:rPr>
          <w:rFonts w:ascii="Segoe UI Symbol" w:hAnsi="Segoe UI Symbol"/>
        </w:rPr>
        <w:t xml:space="preserve">☐  </w:t>
      </w:r>
      <w:r>
        <w:rPr>
          <w:b/>
        </w:rPr>
        <w:t xml:space="preserve">3.4  </w:t>
      </w:r>
      <w:r>
        <w:rPr>
          <w:b/>
        </w:rPr>
        <w:t xml:space="preserve">Withdrawal, payment, and NAV suspensions stated, including their absence</w:t>
      </w:r>
      <w:r>
        <w:t xml:space="preserve"> — Recommended (SHOULD)</w:t>
      </w:r>
    </w:p>
    <w:p>
      <w:pPr>
        <w:spacing w:before="0" w:after="120"/>
        <w:ind w:left="540"/>
      </w:pPr>
      <w:r>
        <w:t xml:space="preserve">Confirm the memorandum states whether the general partner may suspend withdrawals, payment of proceeds, or calculation of net asset value. If it may, record the triggers, notice, treatment of pending requests, and termination condition; if it may not, confirm it says so expressly.</w:t>
      </w:r>
    </w:p>
    <w:p>
      <w:pPr>
        <w:keepNext/>
        <w:spacing w:before="200" w:after="80"/>
      </w:pPr>
      <w:r>
        <w:rPr>
          <w:rFonts w:ascii="Segoe UI Symbol" w:hAnsi="Segoe UI Symbol"/>
        </w:rPr>
        <w:t xml:space="preserve">☐  </w:t>
      </w:r>
      <w:r>
        <w:rPr>
          <w:b/>
        </w:rPr>
        <w:t xml:space="preserve">3.5  </w:t>
      </w:r>
      <w:r>
        <w:rPr>
          <w:b/>
        </w:rPr>
        <w:t xml:space="preserve">Side pockets and designated investments disclosed, including their absence</w:t>
      </w:r>
      <w:r>
        <w:t xml:space="preserve"> — Recommended (SHOULD)</w:t>
      </w:r>
    </w:p>
    <w:p>
      <w:pPr>
        <w:spacing w:before="0" w:after="120"/>
        <w:ind w:left="540"/>
      </w:pPr>
      <w:r>
        <w:t xml:space="preserve">Confirm the memorandum states whether assets may be placed in side pockets, designated-investment accounts, or similar illiquid buckets. If they may, record eligibility, valuation, fee treatment, allocation, release or realization mechanics, and post-withdrawal participation. If performance compensation can be allocated on unrealized gains, check disclosure of a later write-down that exceeds an investor's capital, who bears the uncovered loss, any limit on manager capital available to absorb it, and whether later gains can repay affected investors. Do not infer that a composite example is common merely because each component appears in a filing. If buckets are absent, confirm the memorandum says so expressly.</w:t>
      </w:r>
    </w:p>
    <w:p>
      <w:pPr>
        <w:keepNext/>
        <w:spacing w:before="200" w:after="80"/>
      </w:pPr>
      <w:r>
        <w:rPr>
          <w:rFonts w:ascii="Segoe UI Symbol" w:hAnsi="Segoe UI Symbol"/>
        </w:rPr>
        <w:t xml:space="preserve">☐  </w:t>
      </w:r>
      <w:r>
        <w:rPr>
          <w:b/>
        </w:rPr>
        <w:t xml:space="preserve">3.6  </w:t>
      </w:r>
      <w:r>
        <w:rPr>
          <w:b/>
        </w:rPr>
        <w:t xml:space="preserve">In-kind distributions disclosed, including their absence</w:t>
      </w:r>
      <w:r>
        <w:t xml:space="preserve"> — Recommended (SHOULD)</w:t>
      </w:r>
    </w:p>
    <w:p>
      <w:pPr>
        <w:spacing w:before="0" w:after="120"/>
        <w:ind w:left="540"/>
      </w:pPr>
      <w:r>
        <w:t xml:space="preserve">Confirm the memorandum states whether withdrawal or liquidation proceeds may be distributed in kind. If they may, record valuation, selection, transfer-cost, fractional-interest, and investor-eligibility mechanics; if they may not, confirm it says so expressly.</w:t>
      </w:r>
    </w:p>
    <w:p>
      <w:pPr>
        <w:keepNext/>
        <w:spacing w:before="200" w:after="80"/>
      </w:pPr>
      <w:r>
        <w:rPr>
          <w:rFonts w:ascii="Segoe UI Symbol" w:hAnsi="Segoe UI Symbol"/>
        </w:rPr>
        <w:t xml:space="preserve">☐  </w:t>
      </w:r>
      <w:r>
        <w:rPr>
          <w:b/>
        </w:rPr>
        <w:t xml:space="preserve">3.7  </w:t>
      </w:r>
      <w:r>
        <w:rPr>
          <w:b/>
        </w:rPr>
        <w:t xml:space="preserve">Early-withdrawal fee stated, with who receives it</w:t>
      </w:r>
      <w:r>
        <w:t xml:space="preserve"> — Recommended (SHOULD)</w:t>
      </w:r>
    </w:p>
    <w:p>
      <w:pPr>
        <w:spacing w:before="0" w:after="120"/>
        <w:ind w:left="540"/>
      </w:pPr>
      <w:r>
        <w:t xml:space="preserve">Where a withdrawal before a stated date carries a fee, confirm the memorandum states the percentage, the period it applies to, and whether the fee is paid to the fund for the benefit of remaining investors or to the general partner. Those are materially different terms, and only one of them is a liquidity-protection mechanism.</w:t>
      </w:r>
    </w:p>
    <w:p>
      <w:pPr>
        <w:keepNext/>
        <w:spacing w:before="200" w:after="80"/>
      </w:pPr>
      <w:r>
        <w:rPr>
          <w:rFonts w:ascii="Segoe UI Symbol" w:hAnsi="Segoe UI Symbol"/>
        </w:rPr>
        <w:t xml:space="preserve">☐  </w:t>
      </w:r>
      <w:r>
        <w:rPr>
          <w:b/>
        </w:rPr>
        <w:t xml:space="preserve">3.8  </w:t>
      </w:r>
      <w:r>
        <w:rPr>
          <w:b/>
        </w:rPr>
        <w:t xml:space="preserve">Illiquidity and transfer restriction stated as a risk, not only as a legend</w:t>
      </w:r>
      <w:r>
        <w:t xml:space="preserve"> — Recommended (SHOULD)</w:t>
      </w:r>
    </w:p>
    <w:p>
      <w:pPr>
        <w:spacing w:before="0" w:after="120"/>
        <w:ind w:left="540"/>
      </w:pPr>
      <w:r>
        <w:t xml:space="preserve">Confirm the illiquidity of the interests appears as a substantive risk factor and not only in the cover legends: there is no secondary market, transfers require the general partner's consent, and the withdrawal rights just described are the only exit. Where the fund's assets are less liquid than its stated withdrawal terms, that mismatch is itself the disclosure: say what the manager would do if withdrawal requests exceeded what the portfolio could fund.</w:t>
      </w:r>
    </w:p>
    <w:p>
      <w:pPr>
        <w:keepNext/>
        <w:spacing w:before="360" w:after="160"/>
      </w:pPr>
      <w:r>
        <w:rPr>
          <w:b/>
          <w:sz w:val="28"/>
          <w:szCs w:val="28"/>
        </w:rPr>
        <w:t xml:space="preserve">4. Who may invest, and under what exemption</w:t>
      </w:r>
    </w:p>
    <w:p>
      <w:pPr>
        <w:keepNext/>
        <w:spacing w:before="200" w:after="80"/>
      </w:pPr>
      <w:r>
        <w:rPr>
          <w:rFonts w:ascii="Segoe UI Symbol" w:hAnsi="Segoe UI Symbol"/>
        </w:rPr>
        <w:t xml:space="preserve">☐  </w:t>
      </w:r>
      <w:r>
        <w:rPr>
          <w:b/>
        </w:rPr>
        <w:t xml:space="preserve">4.1  </w:t>
      </w:r>
      <w:r>
        <w:rPr>
          <w:b/>
        </w:rPr>
        <w:t xml:space="preserve">Rule 506 route confirmed and memorandum statements reconciled</w:t>
      </w:r>
      <w:r>
        <w:t xml:space="preserve"> — Recommended (SHOULD)</w:t>
      </w:r>
    </w:p>
    <w:p>
      <w:pPr>
        <w:spacing w:before="0" w:after="120"/>
        <w:ind w:left="540"/>
      </w:pPr>
      <w:r>
        <w:t xml:space="preserve">Confirm that the offering team has selected and documented whether it relies on Rule 506(b) or Rule 506(c), then reconcile the memorandum's exemption, solicitation, purchaser-eligibility, verification, and disclosure statements with the route actually used. A memorandum may cite Rule 506 generally if those statements are accurate for the selected route; naming only Rule 506 does not preserve a Rule 506(b) claim after general solicitation or replace Rule 506(c)'s accredited-purchaser verification. Record the selected route, supporting offering records, reviewer, and review date. Rule 506(b) permits no general solicitation and can admit eligible non-accredited purchasers with required information; Rule 506(c) permits general solicitation only with accredited purchasers whose status the issuer takes reasonable steps to verify.</w:t>
      </w:r>
    </w:p>
    <w:p>
      <w:pPr>
        <w:keepNext/>
        <w:spacing w:before="200" w:after="80"/>
      </w:pPr>
      <w:r>
        <w:rPr>
          <w:rFonts w:ascii="Segoe UI Symbol" w:hAnsi="Segoe UI Symbol"/>
        </w:rPr>
        <w:t xml:space="preserve">☐  </w:t>
      </w:r>
      <w:r>
        <w:rPr>
          <w:b/>
        </w:rPr>
        <w:t xml:space="preserve">4.2  </w:t>
      </w:r>
      <w:r>
        <w:rPr>
          <w:b/>
        </w:rPr>
        <w:t xml:space="preserve">Accredited-investor standard stated as the rule states it</w:t>
      </w:r>
      <w:r>
        <w:t xml:space="preserve"> — Recommended (SHOULD)</w:t>
      </w:r>
    </w:p>
    <w:p>
      <w:pPr>
        <w:spacing w:before="0" w:after="120"/>
        <w:ind w:left="540"/>
      </w:pPr>
      <w:r>
        <w:t xml:space="preserve">Confirm the memorandum describes the accredited-investor standard accurately and dates it to the time of sale: the definition reaches a person who comes within a listed category, or </w:t>
      </w:r>
      <w:r>
        <w:t xml:space="preserve">“who the issuer reasonably believes comes within any of the following categories, at the time of the sale of the securities to that person”</w:t>
      </w:r>
      <w:r>
        <w:t xml:space="preserve">. Check the natural-person tests against the current rule text rather than against a prior version of the memorandum: the net-worth test excludes the primary residence, the income test has separate individual and joint thresholds, and the rule now includes categories keyed to professional certifications and to knowledgeable employees of the fund.</w:t>
      </w:r>
    </w:p>
    <w:p>
      <w:pPr>
        <w:keepNext/>
        <w:spacing w:before="200" w:after="80"/>
      </w:pPr>
      <w:r>
        <w:rPr>
          <w:rFonts w:ascii="Segoe UI Symbol" w:hAnsi="Segoe UI Symbol"/>
        </w:rPr>
        <w:t xml:space="preserve">☐  </w:t>
      </w:r>
      <w:r>
        <w:rPr>
          <w:b/>
        </w:rPr>
        <w:t xml:space="preserve">4.3  </w:t>
      </w:r>
      <w:r>
        <w:rPr>
          <w:b/>
        </w:rPr>
        <w:t xml:space="preserve">Offering-process check: no marketing or sale outside the exemption's conditions</w:t>
      </w:r>
      <w:r>
        <w:t xml:space="preserve"> — Prohibited (MUST NOT)</w:t>
      </w:r>
    </w:p>
    <w:p>
      <w:pPr>
        <w:spacing w:before="0" w:after="120"/>
        <w:ind w:left="540"/>
      </w:pPr>
      <w:r>
        <w:t xml:space="preserve">If the offering relies on Rule 506(b), confirm that neither the issuer nor any person acting on its behalf offered or sold through general solicitation or general advertising. If it relies on Rule 506(c), confirm that no interest was sold to a purchaser who is not accredited or whose accredited status the issuer did not take reasonable steps to verify. Record the exemption, external marketing channels and verification steps reviewed, reviewer, and review date. The memorandum cannot establish that conduct by itself.</w:t>
      </w:r>
    </w:p>
    <w:p>
      <w:pPr>
        <w:keepNext/>
        <w:spacing w:before="200" w:after="80"/>
      </w:pPr>
      <w:r>
        <w:rPr>
          <w:rFonts w:ascii="Segoe UI Symbol" w:hAnsi="Segoe UI Symbol"/>
        </w:rPr>
        <w:t xml:space="preserve">☐  </w:t>
      </w:r>
      <w:r>
        <w:rPr>
          <w:b/>
        </w:rPr>
        <w:t xml:space="preserve">4.4  </w:t>
      </w:r>
      <w:r>
        <w:rPr>
          <w:b/>
        </w:rPr>
        <w:t xml:space="preserve">Section 3(c)(1) or 3(c)(7) named, with the eligibility standard that follows from it</w:t>
      </w:r>
      <w:r>
        <w:t xml:space="preserve"> — Recommended (SHOULD)</w:t>
      </w:r>
    </w:p>
    <w:p>
      <w:pPr>
        <w:spacing w:before="0" w:after="120"/>
        <w:ind w:left="540"/>
      </w:pPr>
      <w:r>
        <w:t xml:space="preserve">Confirm the memorandum names the Investment Company Act exclusion the fund relies on and applies the investor standard that goes with it. A section 3(c)(1) fund is limited to an issuer </w:t>
      </w:r>
      <w:r>
        <w:t xml:space="preserve">“beneficially owned by not more than one hundred persons”</w:t>
      </w:r>
      <w:r>
        <w:t xml:space="preserve"> that is not making and does not presently propose to make a public offering. A section 3(c)(7) fund has no comparable holder cap but its securities must be </w:t>
      </w:r>
      <w:r>
        <w:t xml:space="preserve">“owned exclusively by persons who, at the time of acquisition of such securities, are qualified purchasers”</w:t>
      </w:r>
      <w:r>
        <w:t xml:space="preserve">, a materially higher standard than accredited investor, resting on an investments test rather than a net-worth test. A memorandum that recites both exclusions, or that pairs a 3(c)(7) recital with an accredited-investor-only subscription agreement, has an internal inconsistency to resolve before it goes out.</w:t>
      </w:r>
    </w:p>
    <w:p>
      <w:pPr>
        <w:keepNext/>
        <w:spacing w:before="200" w:after="80"/>
      </w:pPr>
      <w:r>
        <w:rPr>
          <w:rFonts w:ascii="Segoe UI Symbol" w:hAnsi="Segoe UI Symbol"/>
        </w:rPr>
        <w:t xml:space="preserve">☐  </w:t>
      </w:r>
      <w:r>
        <w:rPr>
          <w:b/>
        </w:rPr>
        <w:t xml:space="preserve">4.5  </w:t>
      </w:r>
      <w:r>
        <w:rPr>
          <w:b/>
        </w:rPr>
        <w:t xml:space="preserve">Offering-process check: Form D responsibility and filing record</w:t>
      </w:r>
      <w:r>
        <w:t xml:space="preserve"> — Required (MUST)</w:t>
      </w:r>
    </w:p>
    <w:p>
      <w:pPr>
        <w:spacing w:before="0" w:after="120"/>
        <w:ind w:left="540"/>
      </w:pPr>
      <w:r>
        <w:t xml:space="preserve">An issuer selling securities in reliance on Rule 504 or Rule 506 must file Form D no later than 15 calendar days after the first sale. Record the responsible person, first-sale date, deadline, filing or accession number, amendment calendar, and review date. The memorandum cannot satisfy the filing obligation by itself, and Form D filing is not a condition to Rule 506.</w:t>
      </w:r>
    </w:p>
    <w:p>
      <w:pPr>
        <w:keepNext/>
        <w:spacing w:before="200" w:after="80"/>
      </w:pPr>
      <w:r>
        <w:rPr>
          <w:rFonts w:ascii="Segoe UI Symbol" w:hAnsi="Segoe UI Symbol"/>
        </w:rPr>
        <w:t xml:space="preserve">☐  </w:t>
      </w:r>
      <w:r>
        <w:rPr>
          <w:b/>
        </w:rPr>
        <w:t xml:space="preserve">4.6  </w:t>
      </w:r>
      <w:r>
        <w:rPr>
          <w:b/>
        </w:rPr>
        <w:t xml:space="preserve">Offering-process check: Rule 502(b) information delivery recorded</w:t>
      </w:r>
      <w:r>
        <w:t xml:space="preserve"> — Required (MUST)</w:t>
      </w:r>
    </w:p>
    <w:p>
      <w:pPr>
        <w:spacing w:before="0" w:after="120"/>
        <w:ind w:left="540"/>
      </w:pPr>
      <w:r>
        <w:t xml:space="preserve">If a Rule 506(b) offering admits a non-accredited purchaser, confirm the issuer furnished the information specified by Rule 502(b)(2) a reasonable time before sale. Record the information package, the document or supplement carrying each item, who furnished it, and the date furnished. If the memorandum is the delivery vehicle, compare its contents with Rule 502(b)(2); the memorandum alone cannot establish timely delivery.</w:t>
      </w:r>
    </w:p>
    <w:p>
      <w:pPr>
        <w:keepNext/>
        <w:spacing w:before="200" w:after="80"/>
      </w:pPr>
      <w:r>
        <w:rPr>
          <w:rFonts w:ascii="Segoe UI Symbol" w:hAnsi="Segoe UI Symbol"/>
        </w:rPr>
        <w:t xml:space="preserve">☐  </w:t>
      </w:r>
      <w:r>
        <w:rPr>
          <w:b/>
        </w:rPr>
        <w:t xml:space="preserve">4.7  </w:t>
      </w:r>
      <w:r>
        <w:rPr>
          <w:b/>
        </w:rPr>
        <w:t xml:space="preserve">Offering-process check: Rule 506(d) covered-person diligence recorded</w:t>
      </w:r>
      <w:r>
        <w:t xml:space="preserve"> — Recommended (SHOULD)</w:t>
      </w:r>
    </w:p>
    <w:p>
      <w:pPr>
        <w:spacing w:before="0" w:after="120"/>
        <w:ind w:left="540"/>
      </w:pPr>
      <w:r>
        <w:t xml:space="preserve">Record the Rule 506(d) covered-person population, the facts-and-circumstances inquiry performed, who performed it, and the date. Identify any reasonable-care exception, Commission waiver, or issuing-authority determination and the resulting effect on Rule 506 before sale. The memorandum's text cannot establish that this diligence occurred; this check belongs in a separate offering-compliance and closing checklist.</w:t>
      </w:r>
    </w:p>
    <w:p>
      <w:pPr>
        <w:keepNext/>
        <w:spacing w:before="200" w:after="80"/>
      </w:pPr>
      <w:r>
        <w:rPr>
          <w:rFonts w:ascii="Segoe UI Symbol" w:hAnsi="Segoe UI Symbol"/>
        </w:rPr>
        <w:t xml:space="preserve">☐  </w:t>
      </w:r>
      <w:r>
        <w:rPr>
          <w:b/>
        </w:rPr>
        <w:t xml:space="preserve">4.8  </w:t>
      </w:r>
      <w:r>
        <w:rPr>
          <w:b/>
        </w:rPr>
        <w:t xml:space="preserve">Pre-September 23, 2013 Rule 506(e) matters disclosed in writing when present</w:t>
      </w:r>
      <w:r>
        <w:t xml:space="preserve"> — Required (MUST)</w:t>
      </w:r>
    </w:p>
    <w:p>
      <w:pPr>
        <w:spacing w:before="0" w:after="120"/>
        <w:ind w:left="540"/>
      </w:pPr>
      <w:r>
        <w:t xml:space="preserve">If a matter that would otherwise trigger Rule 506(d)(1) occurred before September 23, 2013, confirm the memorandum or a clearly identified written supplement describes it and is furnished a reasonable time before sale.</w:t>
      </w:r>
    </w:p>
    <w:p>
      <w:pPr>
        <w:keepNext/>
        <w:spacing w:before="360" w:after="160"/>
      </w:pPr>
      <w:r>
        <w:rPr>
          <w:b/>
          <w:sz w:val="28"/>
          <w:szCs w:val="28"/>
        </w:rPr>
        <w:t xml:space="preserve">5. The strategy and its risks</w:t>
      </w:r>
    </w:p>
    <w:p>
      <w:pPr>
        <w:keepNext/>
        <w:spacing w:before="200" w:after="80"/>
      </w:pPr>
      <w:r>
        <w:rPr>
          <w:rFonts w:ascii="Segoe UI Symbol" w:hAnsi="Segoe UI Symbol"/>
        </w:rPr>
        <w:t xml:space="preserve">☐  </w:t>
      </w:r>
      <w:r>
        <w:rPr>
          <w:b/>
        </w:rPr>
        <w:t xml:space="preserve">5.1  </w:t>
      </w:r>
      <w:r>
        <w:rPr>
          <w:b/>
        </w:rPr>
        <w:t xml:space="preserve">CFTC/NFA registration, exclusion, or exemption stated when commodity interests are traded</w:t>
      </w:r>
      <w:r>
        <w:t xml:space="preserve"> — Recommended (SHOULD)</w:t>
      </w:r>
    </w:p>
    <w:p>
      <w:pPr>
        <w:spacing w:before="0" w:after="120"/>
        <w:ind w:left="540"/>
      </w:pPr>
      <w:r>
        <w:t xml:space="preserve">If the strategy trades commodity interests or swaps, confirm the memorandum states whether the manager is registered as a commodity pool operator or commodity trading adviser or identifies the precise CFTC exclusion or exemption claimed. Record filing and annual-affirmation work separately; the memorandum cannot satisfy those external tasks.</w:t>
      </w:r>
    </w:p>
    <w:p>
      <w:pPr>
        <w:keepNext/>
        <w:spacing w:before="200" w:after="80"/>
      </w:pPr>
      <w:r>
        <w:rPr>
          <w:rFonts w:ascii="Segoe UI Symbol" w:hAnsi="Segoe UI Symbol"/>
        </w:rPr>
        <w:t xml:space="preserve">☐  </w:t>
      </w:r>
      <w:r>
        <w:rPr>
          <w:b/>
        </w:rPr>
        <w:t xml:space="preserve">5.2  </w:t>
      </w:r>
      <w:r>
        <w:rPr>
          <w:b/>
        </w:rPr>
        <w:t xml:space="preserve">Objective and program described in enough detail to be tested against</w:t>
      </w:r>
      <w:r>
        <w:t xml:space="preserve"> — Recommended (SHOULD)</w:t>
      </w:r>
    </w:p>
    <w:p>
      <w:pPr>
        <w:spacing w:before="0" w:after="120"/>
        <w:ind w:left="540"/>
      </w:pPr>
      <w:r>
        <w:t xml:space="preserve">Confirm the memorandum states the investment objective and describes the program in enough substance that an investor could later tell whether the manager departed from it: the markets and instruments traded, the sources of return, the typical holding period, and the decision process. A program described only as opportunistic or multi-strategy gives the manager latitude but gives the investor nothing to hold the disclosure against.</w:t>
      </w:r>
    </w:p>
    <w:p>
      <w:pPr>
        <w:keepNext/>
        <w:spacing w:before="200" w:after="80"/>
      </w:pPr>
      <w:r>
        <w:rPr>
          <w:rFonts w:ascii="Segoe UI Symbol" w:hAnsi="Segoe UI Symbol"/>
        </w:rPr>
        <w:t xml:space="preserve">☐  </w:t>
      </w:r>
      <w:r>
        <w:rPr>
          <w:b/>
        </w:rPr>
        <w:t xml:space="preserve">5.3  </w:t>
      </w:r>
      <w:r>
        <w:rPr>
          <w:b/>
        </w:rPr>
        <w:t xml:space="preserve">Leverage, borrowing, short selling, and concentration policy stated</w:t>
      </w:r>
      <w:r>
        <w:t xml:space="preserve"> — Recommended (SHOULD)</w:t>
      </w:r>
    </w:p>
    <w:p>
      <w:pPr>
        <w:spacing w:before="0" w:after="120"/>
        <w:ind w:left="540"/>
      </w:pPr>
      <w:r>
        <w:t xml:space="preserve">Confirm the memorandum states the fund's leverage policy (whether there is a stated limit or none, how leverage is measured, and whether it includes notional exposure through derivatives) together with its policy on borrowing, short selling, and position concentration. Where there is no limit, the memorandum should say so directly rather than leave the reader to infer it; an unlimited leverage policy that the reader has to deduce from a risk factor is a disclosure problem even though an unlimited leverage policy is not.</w:t>
      </w:r>
    </w:p>
    <w:p>
      <w:pPr>
        <w:keepNext/>
        <w:spacing w:before="200" w:after="80"/>
      </w:pPr>
      <w:r>
        <w:rPr>
          <w:rFonts w:ascii="Segoe UI Symbol" w:hAnsi="Segoe UI Symbol"/>
        </w:rPr>
        <w:t xml:space="preserve">☐  </w:t>
      </w:r>
      <w:r>
        <w:rPr>
          <w:b/>
        </w:rPr>
        <w:t xml:space="preserve">5.4  </w:t>
      </w:r>
      <w:r>
        <w:rPr>
          <w:b/>
        </w:rPr>
        <w:t xml:space="preserve">Material risk factors written for this strategy, without a safe harbor</w:t>
      </w:r>
      <w:r>
        <w:t xml:space="preserve"> — Prohibited (MUST NOT)</w:t>
      </w:r>
    </w:p>
    <w:p>
      <w:pPr>
        <w:spacing w:before="0" w:after="120"/>
        <w:ind w:left="540"/>
      </w:pPr>
      <w:r>
        <w:t xml:space="preserve">Confirm the memorandum does not make an untrue statement of material fact or omit a material fact necessary to make its statements about the investment program and its risks, in light of the circumstances, not misleading. Then read the risk factors against the actual program: describe material, strategy-specific risks through their mechanisms and remove inherited risks that do not apply. Materiality remains a facts-and-circumstances legal judgment.</w:t>
      </w:r>
    </w:p>
    <w:p>
      <w:pPr>
        <w:keepNext/>
        <w:spacing w:before="200" w:after="80"/>
      </w:pPr>
      <w:r>
        <w:rPr>
          <w:rFonts w:ascii="Segoe UI Symbol" w:hAnsi="Segoe UI Symbol"/>
        </w:rPr>
        <w:t xml:space="preserve">☐  </w:t>
      </w:r>
      <w:r>
        <w:rPr>
          <w:b/>
        </w:rPr>
        <w:t xml:space="preserve">5.5  </w:t>
      </w:r>
      <w:r>
        <w:rPr>
          <w:b/>
        </w:rPr>
        <w:t xml:space="preserve">Limited operating history and no assurance of achieving the objective</w:t>
      </w:r>
      <w:r>
        <w:t xml:space="preserve"> — Recommended (SHOULD)</w:t>
      </w:r>
    </w:p>
    <w:p>
      <w:pPr>
        <w:spacing w:before="0" w:after="120"/>
        <w:ind w:left="540"/>
      </w:pPr>
      <w:r>
        <w:t xml:space="preserve">For a new fund, confirm the memorandum discloses the absence of an operating history and states that no assurance can be given that the objective will be achieved. Where performance of a predecessor fund, a separate account, or a personal trading record is shown, confirm the memorandum explains the basis of that record, how it differs from what an investor in this fund would have experienced, and whether it is net of the fees this fund charges.</w:t>
      </w:r>
    </w:p>
    <w:p>
      <w:pPr>
        <w:keepNext/>
        <w:spacing w:before="200" w:after="80"/>
      </w:pPr>
      <w:r>
        <w:rPr>
          <w:rFonts w:ascii="Segoe UI Symbol" w:hAnsi="Segoe UI Symbol"/>
        </w:rPr>
        <w:t xml:space="preserve">☐  </w:t>
      </w:r>
      <w:r>
        <w:rPr>
          <w:b/>
        </w:rPr>
        <w:t xml:space="preserve">5.6  </w:t>
      </w:r>
      <w:r>
        <w:rPr>
          <w:b/>
        </w:rPr>
        <w:t xml:space="preserve">Dependence on named individuals disclosed as a risk</w:t>
      </w:r>
      <w:r>
        <w:t xml:space="preserve"> — Recommended (SHOULD)</w:t>
      </w:r>
    </w:p>
    <w:p>
      <w:pPr>
        <w:spacing w:before="0" w:after="120"/>
        <w:ind w:left="540"/>
      </w:pPr>
      <w:r>
        <w:t xml:space="preserve">Confirm the memorandum discloses that results depend on a small number of individuals and says what would follow if they stopped being involved. This is a different assertion from describing who they are: the biographies establish the track record, and this risk factor says the track record can walk out of the door. Check whether the risk factor names the individuals. Where the fund or the partnership agreement carries a key-person provision that suspends new investment or opens a withdrawal window, confirm the memorandum describes that mechanism rather than leaving the risk factor to stand on its own.</w:t>
      </w:r>
    </w:p>
    <w:p>
      <w:pPr>
        <w:keepNext/>
        <w:spacing w:before="200" w:after="80"/>
      </w:pPr>
      <w:r>
        <w:rPr>
          <w:rFonts w:ascii="Segoe UI Symbol" w:hAnsi="Segoe UI Symbol"/>
        </w:rPr>
        <w:t xml:space="preserve">☐  </w:t>
      </w:r>
      <w:r>
        <w:rPr>
          <w:b/>
        </w:rPr>
        <w:t xml:space="preserve">5.7  </w:t>
      </w:r>
      <w:r>
        <w:rPr>
          <w:b/>
        </w:rPr>
        <w:t xml:space="preserve">Counterparty, prime broker, and custody risk disclosed</w:t>
      </w:r>
      <w:r>
        <w:t xml:space="preserve"> — Recommended (SHOULD)</w:t>
      </w:r>
    </w:p>
    <w:p>
      <w:pPr>
        <w:spacing w:before="0" w:after="120"/>
        <w:ind w:left="540"/>
      </w:pPr>
      <w:r>
        <w:t xml:space="preserve">Confirm the memorandum discloses what happens to fund assets if a prime broker, custodian, clearing firm, or derivatives counterparty fails, including the fund's exposure to assets that may be rehypothecated or held outside a segregated account, and any concentration in a single prime broker. Confirm it also names the operational risks the fund actually runs: cyber intrusion, trade error, key-vendor failure, and business continuity.</w:t>
      </w:r>
    </w:p>
    <w:p>
      <w:pPr>
        <w:keepNext/>
        <w:spacing w:before="360" w:after="160"/>
      </w:pPr>
      <w:r>
        <w:rPr>
          <w:b/>
          <w:sz w:val="28"/>
          <w:szCs w:val="28"/>
        </w:rPr>
        <w:t xml:space="preserve">6. Conflicts of interest</w:t>
      </w:r>
    </w:p>
    <w:p>
      <w:pPr>
        <w:keepNext/>
        <w:spacing w:before="200" w:after="80"/>
      </w:pPr>
      <w:r>
        <w:rPr>
          <w:rFonts w:ascii="Segoe UI Symbol" w:hAnsi="Segoe UI Symbol"/>
        </w:rPr>
        <w:t xml:space="preserve">☐  </w:t>
      </w:r>
      <w:r>
        <w:rPr>
          <w:b/>
        </w:rPr>
        <w:t xml:space="preserve">6.1  </w:t>
      </w:r>
      <w:r>
        <w:rPr>
          <w:b/>
        </w:rPr>
        <w:t xml:space="preserve">Other accounts, time allocation, and how opportunities are allocated</w:t>
      </w:r>
      <w:r>
        <w:t xml:space="preserve"> — Recommended (SHOULD)</w:t>
      </w:r>
    </w:p>
    <w:p>
      <w:pPr>
        <w:spacing w:before="0" w:after="120"/>
        <w:ind w:left="540"/>
      </w:pPr>
      <w:r>
        <w:t xml:space="preserve">Confirm the memorandum discloses every other fund, managed account, or proprietary account the manager and its principals trade, the fact that they will not devote full time to this fund, and the method by which investment opportunities and partial fills are allocated among them. Where another account pays higher fees or has a different liquidity profile, the incentive that creates should be named rather than left to the reader.</w:t>
      </w:r>
    </w:p>
    <w:p>
      <w:pPr>
        <w:keepNext/>
        <w:spacing w:before="200" w:after="80"/>
      </w:pPr>
      <w:r>
        <w:rPr>
          <w:rFonts w:ascii="Segoe UI Symbol" w:hAnsi="Segoe UI Symbol"/>
        </w:rPr>
        <w:t xml:space="preserve">☐  </w:t>
      </w:r>
      <w:r>
        <w:rPr>
          <w:b/>
        </w:rPr>
        <w:t xml:space="preserve">6.2  </w:t>
      </w:r>
      <w:r>
        <w:rPr>
          <w:b/>
        </w:rPr>
        <w:t xml:space="preserve">Manager's role in valuation disclosed as a conflict, not only as a procedure</w:t>
      </w:r>
      <w:r>
        <w:t xml:space="preserve"> — Recommended (SHOULD)</w:t>
      </w:r>
    </w:p>
    <w:p>
      <w:pPr>
        <w:spacing w:before="0" w:after="120"/>
        <w:ind w:left="540"/>
      </w:pPr>
      <w:r>
        <w:t xml:space="preserve">Confirm the memorandum says plainly that the manager, or a valuation committee it controls, determines the value of positions that have no readily available market price, and that its management fee and incentive allocation are calculated on those values. Confirm the independence check (an administrator, an auditor, or an independent pricing source) is described accurately rather than overstated.</w:t>
      </w:r>
    </w:p>
    <w:p>
      <w:pPr>
        <w:keepNext/>
        <w:spacing w:before="200" w:after="80"/>
      </w:pPr>
      <w:r>
        <w:rPr>
          <w:rFonts w:ascii="Segoe UI Symbol" w:hAnsi="Segoe UI Symbol"/>
        </w:rPr>
        <w:t xml:space="preserve">☐  </w:t>
      </w:r>
      <w:r>
        <w:rPr>
          <w:b/>
        </w:rPr>
        <w:t xml:space="preserve">6.3  </w:t>
      </w:r>
      <w:r>
        <w:rPr>
          <w:b/>
        </w:rPr>
        <w:t xml:space="preserve">Brokerage selection, soft dollars, and affiliated transactions disclosed</w:t>
      </w:r>
      <w:r>
        <w:t xml:space="preserve"> — Recommended (SHOULD)</w:t>
      </w:r>
    </w:p>
    <w:p>
      <w:pPr>
        <w:spacing w:before="0" w:after="120"/>
        <w:ind w:left="540"/>
      </w:pPr>
      <w:r>
        <w:t xml:space="preserve">Confirm the memorandum describes how brokers are selected, whether the fund pays more than the lowest available commission in exchange for research or brokerage services within the section 28(e) safe harbor, and how the manager handles services that benefit other clients or the manager itself. Confirm any capital-introduction relationship is disclosed as a factor in broker selection, and that transactions with the manager, its affiliates, or another fund it manages are described together with the consent or independent-review mechanism that governs them.</w:t>
      </w:r>
    </w:p>
    <w:p>
      <w:pPr>
        <w:keepNext/>
        <w:spacing w:before="200" w:after="80"/>
      </w:pPr>
      <w:r>
        <w:rPr>
          <w:rFonts w:ascii="Segoe UI Symbol" w:hAnsi="Segoe UI Symbol"/>
        </w:rPr>
        <w:t xml:space="preserve">☐  </w:t>
      </w:r>
      <w:r>
        <w:rPr>
          <w:b/>
        </w:rPr>
        <w:t xml:space="preserve">6.4  </w:t>
      </w:r>
      <w:r>
        <w:rPr>
          <w:b/>
        </w:rPr>
        <w:t xml:space="preserve">Side letters disclosed, with the categories of terms they may grant</w:t>
      </w:r>
      <w:r>
        <w:t xml:space="preserve"> — Recommended (SHOULD)</w:t>
      </w:r>
    </w:p>
    <w:p>
      <w:pPr>
        <w:spacing w:before="0" w:after="120"/>
        <w:ind w:left="540"/>
      </w:pPr>
      <w:r>
        <w:t xml:space="preserve">Confirm the memorandum discloses that the general partner may enter into side letters granting particular investors terms not available to others, and describes the categories of terms involved: fee discounts, enhanced liquidity, capacity rights, and additional portfolio transparency. Enhanced liquidity and additional transparency are the two that disadvantage the other investors in a stress, so a disclosure that lists only fee discounts understates the arrangement. Confirm whether the fund commits to any most-favored-nation election, and if not, say so.</w:t>
      </w:r>
    </w:p>
    <w:p>
      <w:pPr>
        <w:keepNext/>
        <w:spacing w:before="200" w:after="80"/>
      </w:pPr>
      <w:r>
        <w:rPr>
          <w:rFonts w:ascii="Segoe UI Symbol" w:hAnsi="Segoe UI Symbol"/>
        </w:rPr>
        <w:t xml:space="preserve">☐  </w:t>
      </w:r>
      <w:r>
        <w:rPr>
          <w:b/>
        </w:rPr>
        <w:t xml:space="preserve">6.5  </w:t>
      </w:r>
      <w:r>
        <w:rPr>
          <w:b/>
        </w:rPr>
        <w:t xml:space="preserve">Exculpation and indemnification described, with its standard of conduct</w:t>
      </w:r>
      <w:r>
        <w:t xml:space="preserve"> — Recommended (SHOULD)</w:t>
      </w:r>
    </w:p>
    <w:p>
      <w:pPr>
        <w:spacing w:before="0" w:after="120"/>
        <w:ind w:left="540"/>
      </w:pPr>
      <w:r>
        <w:t xml:space="preserve">Confirm the memorandum describes the exculpation and indemnification the partnership agreement gives the general partner and the manager, states the standard of conduct that forfeits it, and notes that the federal securities laws limit any waiver of liability arising under them. Where the manager may advance its own defense costs out of fund assets, that belongs in the fee and expense discussion as well as here.</w:t>
      </w:r>
    </w:p>
    <w:p>
      <w:pPr>
        <w:keepNext/>
        <w:spacing w:before="360" w:after="160"/>
      </w:pPr>
      <w:r>
        <w:rPr>
          <w:b/>
          <w:sz w:val="28"/>
          <w:szCs w:val="28"/>
        </w:rPr>
        <w:t xml:space="preserve">7. Valuation, reporting, and service providers</w:t>
      </w:r>
    </w:p>
    <w:p>
      <w:pPr>
        <w:keepNext/>
        <w:spacing w:before="200" w:after="80"/>
      </w:pPr>
      <w:r>
        <w:rPr>
          <w:rFonts w:ascii="Segoe UI Symbol" w:hAnsi="Segoe UI Symbol"/>
        </w:rPr>
        <w:t xml:space="preserve">☐  </w:t>
      </w:r>
      <w:r>
        <w:rPr>
          <w:b/>
        </w:rPr>
        <w:t xml:space="preserve">7.1  </w:t>
      </w:r>
      <w:r>
        <w:rPr>
          <w:b/>
        </w:rPr>
        <w:t xml:space="preserve">Valuation policy stated, including hard-to-value positions</w:t>
      </w:r>
      <w:r>
        <w:t xml:space="preserve"> — Recommended (SHOULD)</w:t>
      </w:r>
    </w:p>
    <w:p>
      <w:pPr>
        <w:spacing w:before="0" w:after="120"/>
        <w:ind w:left="540"/>
      </w:pPr>
      <w:r>
        <w:t xml:space="preserve">Confirm the memorandum describes how net asset value is determined, the pricing sources used for each class of instrument, the treatment of positions with no readily available market price, and the general partner's discretion to depart from a stated source. Confirm the valuation date and the fee calculation date are the same date, or that the memorandum explains why they are not.</w:t>
      </w:r>
    </w:p>
    <w:p>
      <w:pPr>
        <w:keepNext/>
        <w:spacing w:before="200" w:after="80"/>
      </w:pPr>
      <w:r>
        <w:rPr>
          <w:rFonts w:ascii="Segoe UI Symbol" w:hAnsi="Segoe UI Symbol"/>
        </w:rPr>
        <w:t xml:space="preserve">☐  </w:t>
      </w:r>
      <w:r>
        <w:rPr>
          <w:b/>
        </w:rPr>
        <w:t xml:space="preserve">7.2  </w:t>
      </w:r>
      <w:r>
        <w:rPr>
          <w:b/>
        </w:rPr>
        <w:t xml:space="preserve">Service providers named, with the caveat that they do not advise investors</w:t>
      </w:r>
      <w:r>
        <w:t xml:space="preserve"> — Recommended (SHOULD)</w:t>
      </w:r>
    </w:p>
    <w:p>
      <w:pPr>
        <w:spacing w:before="0" w:after="120"/>
        <w:ind w:left="540"/>
      </w:pPr>
      <w:r>
        <w:t xml:space="preserve">Confirm the memorandum names the administrator, auditor, prime broker or custodian, and counsel, and states that fund counsel represents the fund or the manager and not the investors: an emerging-manager memorandum that names a well-known law firm without that sentence invites exactly the inference the sentence exists to prevent. Where a service provider is affiliated with the manager, or where a role is performed in-house rather than by an independent third party, say so in terms.</w:t>
      </w:r>
    </w:p>
    <w:p>
      <w:pPr>
        <w:keepNext/>
        <w:spacing w:before="200" w:after="80"/>
      </w:pPr>
      <w:r>
        <w:rPr>
          <w:rFonts w:ascii="Segoe UI Symbol" w:hAnsi="Segoe UI Symbol"/>
        </w:rPr>
        <w:t xml:space="preserve">☐  </w:t>
      </w:r>
      <w:r>
        <w:rPr>
          <w:b/>
        </w:rPr>
        <w:t xml:space="preserve">7.3  </w:t>
      </w:r>
      <w:r>
        <w:rPr>
          <w:b/>
        </w:rPr>
        <w:t xml:space="preserve">Named biographies of the people making the investment decisions</w:t>
      </w:r>
      <w:r>
        <w:t xml:space="preserve"> — Recommended (SHOULD)</w:t>
      </w:r>
    </w:p>
    <w:p>
      <w:pPr>
        <w:spacing w:before="0" w:after="120"/>
        <w:ind w:left="540"/>
      </w:pPr>
      <w:r>
        <w:t xml:space="preserve">Confirm the memorandum gives named biographies of the people who will actually make the investment decisions (the portfolio managers and the principals of the general partner and the manager) covering the experience the investor is being asked to underwrite. Read the section against the rest of the document: the people named here should be the people the key-person risk factor names, the roles should match the service-provider section, and any track record shown elsewhere should have been earned by someone on this list. For an emerging manager this is where most of the fund's credibility sits, and a memorandum that omits it is offering a strategy with no person attached.</w:t>
      </w:r>
    </w:p>
    <w:p>
      <w:pPr>
        <w:keepNext/>
        <w:spacing w:before="200" w:after="80"/>
      </w:pPr>
      <w:r>
        <w:rPr>
          <w:rFonts w:ascii="Segoe UI Symbol" w:hAnsi="Segoe UI Symbol"/>
        </w:rPr>
        <w:t xml:space="preserve">☐  </w:t>
      </w:r>
      <w:r>
        <w:rPr>
          <w:b/>
        </w:rPr>
        <w:t xml:space="preserve">7.4  </w:t>
      </w:r>
      <w:r>
        <w:rPr>
          <w:b/>
        </w:rPr>
        <w:t xml:space="preserve">Adviser's registration status stated accurately</w:t>
      </w:r>
      <w:r>
        <w:t xml:space="preserve"> — Recommended (SHOULD)</w:t>
      </w:r>
    </w:p>
    <w:p>
      <w:pPr>
        <w:spacing w:before="0" w:after="120"/>
        <w:ind w:left="540"/>
      </w:pPr>
      <w:r>
        <w:t xml:space="preserve">Confirm the memorandum states whether the manager is registered with the Commission as an investment adviser, is a state-registered adviser, or is relying on an exemption and files as an exempt reporting adviser, and does not imply that registration is an endorsement or that an exempt adviser is unregulated. Registration status carries downstream consequences the memorandum should be consistent with, including the qualified-client screen on the performance allocation and the custody and reporting obligations described elsewhere in the document.</w:t>
      </w:r>
    </w:p>
    <w:p>
      <w:pPr>
        <w:keepNext/>
        <w:spacing w:before="200" w:after="80"/>
      </w:pPr>
      <w:r>
        <w:rPr>
          <w:rFonts w:ascii="Segoe UI Symbol" w:hAnsi="Segoe UI Symbol"/>
        </w:rPr>
        <w:t xml:space="preserve">☐  </w:t>
      </w:r>
      <w:r>
        <w:rPr>
          <w:b/>
        </w:rPr>
        <w:t xml:space="preserve">7.5  </w:t>
      </w:r>
      <w:r>
        <w:rPr>
          <w:b/>
        </w:rPr>
        <w:t xml:space="preserve">Audit and periodic-reporting commitment stated, including its absence</w:t>
      </w:r>
      <w:r>
        <w:t xml:space="preserve"> — Recommended (SHOULD)</w:t>
      </w:r>
    </w:p>
    <w:p>
      <w:pPr>
        <w:spacing w:before="0" w:after="120"/>
        <w:ind w:left="540"/>
      </w:pPr>
      <w:r>
        <w:t xml:space="preserve">Confirm the memorandum states whether investors will receive annual audited financial statements and periodic reports. If promised, record the accounting basis, auditor qualification, delivery deadline, and frequency and content of interim reporting; if not promised, confirm it says so expressly.</w:t>
      </w:r>
    </w:p>
    <w:p>
      <w:pPr>
        <w:keepNext/>
        <w:spacing w:before="200" w:after="80"/>
      </w:pPr>
      <w:r>
        <w:rPr>
          <w:rFonts w:ascii="Segoe UI Symbol" w:hAnsi="Segoe UI Symbol"/>
        </w:rPr>
        <w:t xml:space="preserve">☐  </w:t>
      </w:r>
      <w:r>
        <w:rPr>
          <w:b/>
        </w:rPr>
        <w:t xml:space="preserve">7.6  </w:t>
      </w:r>
      <w:r>
        <w:rPr>
          <w:b/>
        </w:rPr>
        <w:t xml:space="preserve">Rule 206(4)-2 pooled-vehicle audit route disclosed when relied on</w:t>
      </w:r>
      <w:r>
        <w:t xml:space="preserve"> — Recommended (SHOULD)</w:t>
      </w:r>
    </w:p>
    <w:p>
      <w:pPr>
        <w:spacing w:before="0" w:after="120"/>
        <w:ind w:left="540"/>
      </w:pPr>
      <w:r>
        <w:t xml:space="preserve">If the adviser is registered or required to be registered with the Commission and relies on the pooled-vehicle audit route, confirm the memorandum discloses annual GAAP audits, delivery within 120 days after fiscal year end, an independent PCAOB-registered and inspected accountant, and a liquidation audit distributed promptly after completion.</w:t>
      </w:r>
    </w:p>
    <w:p>
      <w:pPr>
        <w:keepNext/>
        <w:spacing w:before="360" w:after="160"/>
      </w:pPr>
      <w:r>
        <w:rPr>
          <w:b/>
          <w:sz w:val="28"/>
          <w:szCs w:val="28"/>
        </w:rPr>
        <w:t xml:space="preserve">8. Tax, ERISA, and anti-money-laundering</w:t>
      </w:r>
    </w:p>
    <w:p>
      <w:pPr>
        <w:keepNext/>
        <w:spacing w:before="200" w:after="80"/>
      </w:pPr>
      <w:r>
        <w:rPr>
          <w:rFonts w:ascii="Segoe UI Symbol" w:hAnsi="Segoe UI Symbol"/>
        </w:rPr>
        <w:t xml:space="preserve">☐  </w:t>
      </w:r>
      <w:r>
        <w:rPr>
          <w:b/>
        </w:rPr>
        <w:t xml:space="preserve">8.1  </w:t>
      </w:r>
      <w:r>
        <w:rPr>
          <w:b/>
        </w:rPr>
        <w:t xml:space="preserve">Partnership treatment, allocations, and realistic Schedule K-1 timing</w:t>
      </w:r>
      <w:r>
        <w:t xml:space="preserve"> — Recommended (SHOULD)</w:t>
      </w:r>
    </w:p>
    <w:p>
      <w:pPr>
        <w:spacing w:before="0" w:after="120"/>
        <w:ind w:left="540"/>
      </w:pPr>
      <w:r>
        <w:t xml:space="preserve">Confirm the memorandum states that the fund is intended to be treated as a partnership rather than as an association taxable as a corporation, describes how profit, loss, and tax items are allocated among partners, and gives a realistic expectation for Schedule K-1 delivery. Confirm it also says the investor may owe tax on allocated income in a year the investor received no distribution and that the discussion is general, that no ruling has been sought, and that each investor should consult their own tax adviser.</w:t>
      </w:r>
    </w:p>
    <w:p>
      <w:pPr>
        <w:keepNext/>
        <w:spacing w:before="200" w:after="80"/>
      </w:pPr>
      <w:r>
        <w:rPr>
          <w:rFonts w:ascii="Segoe UI Symbol" w:hAnsi="Segoe UI Symbol"/>
        </w:rPr>
        <w:t xml:space="preserve">☐  </w:t>
      </w:r>
      <w:r>
        <w:rPr>
          <w:b/>
        </w:rPr>
        <w:t xml:space="preserve">8.2  </w:t>
      </w:r>
      <w:r>
        <w:rPr>
          <w:b/>
        </w:rPr>
        <w:t xml:space="preserve">Tax-exempt and non-U.S. investor consequences addressed</w:t>
      </w:r>
      <w:r>
        <w:t xml:space="preserve"> — Recommended (SHOULD)</w:t>
      </w:r>
    </w:p>
    <w:p>
      <w:pPr>
        <w:spacing w:before="0" w:after="120"/>
        <w:ind w:left="540"/>
      </w:pPr>
      <w:r>
        <w:t xml:space="preserve">Where the fund will accept tax-exempt or non-U.S. investors, confirm the memorandum addresses what that means for them: unrelated business taxable income where the fund uses leverage, and withholding, effectively connected income, and information-reporting consequences for non-U.S. investors. Where the fund does not intend to accept them, the cleaner disclosure is to say so and have the subscription documents match.</w:t>
      </w:r>
    </w:p>
    <w:p>
      <w:pPr>
        <w:keepNext/>
        <w:spacing w:before="200" w:after="80"/>
      </w:pPr>
      <w:r>
        <w:rPr>
          <w:rFonts w:ascii="Segoe UI Symbol" w:hAnsi="Segoe UI Symbol"/>
        </w:rPr>
        <w:t xml:space="preserve">☐  </w:t>
      </w:r>
      <w:r>
        <w:rPr>
          <w:b/>
        </w:rPr>
        <w:t xml:space="preserve">8.3  </w:t>
      </w:r>
      <w:r>
        <w:rPr>
          <w:b/>
        </w:rPr>
        <w:t xml:space="preserve">ERISA 25 percent test stated class by class when benefit plan investors may subscribe</w:t>
      </w:r>
      <w:r>
        <w:t xml:space="preserve"> — Recommended (SHOULD)</w:t>
      </w:r>
    </w:p>
    <w:p>
      <w:pPr>
        <w:spacing w:before="0" w:after="120"/>
        <w:ind w:left="540"/>
      </w:pPr>
      <w:r>
        <w:t xml:space="preserve">If benefit plan investors may subscribe, confirm the memorandum states the fund's intended plan-asset position and accurately describes the 25 percent test: immediately after each acquisition, benefit plan investors must hold less than 25 percent of the value of each class, excluding the interests specified by the regulation, with look-through treatment for entities whose underlying assets include plan assets. Confirm the monitoring and rejection or withdrawal mechanism or, if the fund expects to hold plan assets, the resulting fiduciary framework.</w:t>
      </w:r>
    </w:p>
    <w:p>
      <w:pPr>
        <w:keepNext/>
        <w:spacing w:before="200" w:after="80"/>
      </w:pPr>
      <w:r>
        <w:rPr>
          <w:rFonts w:ascii="Segoe UI Symbol" w:hAnsi="Segoe UI Symbol"/>
        </w:rPr>
        <w:t xml:space="preserve">☐  </w:t>
      </w:r>
      <w:r>
        <w:rPr>
          <w:b/>
        </w:rPr>
        <w:t xml:space="preserve">8.4  </w:t>
      </w:r>
      <w:r>
        <w:rPr>
          <w:b/>
        </w:rPr>
        <w:t xml:space="preserve">Investment-adviser AML rule described accurately when effective and applicable</w:t>
      </w:r>
      <w:r>
        <w:t xml:space="preserve"> — Recommended (SHOULD)</w:t>
      </w:r>
    </w:p>
    <w:p>
      <w:pPr>
        <w:spacing w:before="0" w:after="120"/>
        <w:ind w:left="540"/>
      </w:pPr>
      <w:r>
        <w:t xml:space="preserve">If the adviser is SEC-registered or is an exempt reporting adviser and the memorandum is dated on or after January 1, 2028, confirm it describes the applicable AML and suspicious-activity-reporting program accurately. FinCEN postponed the investment-adviser rule from January 1, 2026 to January 1, 2028. Separately confirm the memorandum accurately describes any sanctions screening, information rights, refusal, freeze, or withdrawal procedures that apply before then.</w:t>
      </w:r>
    </w:p>
    <w:p>
      <w:pPr>
        <w:keepNext/>
        <w:spacing w:before="360" w:after="160"/>
      </w:pPr>
      <w:r>
        <w:rPr>
          <w:b/>
          <w:sz w:val="28"/>
          <w:szCs w:val="28"/>
        </w:rPr>
        <w:t xml:space="preserve">9. Legends and subscription mechanics</w:t>
      </w:r>
    </w:p>
    <w:p>
      <w:pPr>
        <w:keepNext/>
        <w:spacing w:before="200" w:after="80"/>
      </w:pPr>
      <w:r>
        <w:rPr>
          <w:rFonts w:ascii="Segoe UI Symbol" w:hAnsi="Segoe UI Symbol"/>
        </w:rPr>
        <w:t xml:space="preserve">☐  </w:t>
      </w:r>
      <w:r>
        <w:rPr>
          <w:b/>
        </w:rPr>
        <w:t xml:space="preserve">9.1  </w:t>
      </w:r>
      <w:r>
        <w:rPr>
          <w:b/>
        </w:rPr>
        <w:t xml:space="preserve">Cover legends present, accurate, and consistent with the exemption claimed</w:t>
      </w:r>
      <w:r>
        <w:t xml:space="preserve"> — Recommended (SHOULD)</w:t>
      </w:r>
    </w:p>
    <w:p>
      <w:pPr>
        <w:spacing w:before="0" w:after="120"/>
        <w:ind w:left="540"/>
      </w:pPr>
      <w:r>
        <w:t xml:space="preserve">Confirm the cover carries the standard legends and that each is accurate for this offering: that the securities are not registered and are subject to restrictions on transfer and resale, that no regulator has approved the offering or passed on the accuracy of the memorandum, that the memorandum is confidential and for the named recipient, that it is not legal, tax, or investment advice, and that no person is authorized to give information beyond it. A legend that contradicts the body (a confidentiality legend in a memorandum for a publicly marketed rule 506(c) offering, or a legend promising an exemption the offering does not actually rely on) is worse than no legend, because it is the first thing a reader reads.</w:t>
      </w:r>
    </w:p>
    <w:p>
      <w:pPr>
        <w:keepNext/>
        <w:spacing w:before="200" w:after="80"/>
      </w:pPr>
      <w:r>
        <w:rPr>
          <w:rFonts w:ascii="Segoe UI Symbol" w:hAnsi="Segoe UI Symbol"/>
        </w:rPr>
        <w:t xml:space="preserve">☐  </w:t>
      </w:r>
      <w:r>
        <w:rPr>
          <w:b/>
        </w:rPr>
        <w:t xml:space="preserve">9.2  </w:t>
      </w:r>
      <w:r>
        <w:rPr>
          <w:b/>
        </w:rPr>
        <w:t xml:space="preserve">Subscription process, funding, closings, and acceptance discretion described</w:t>
      </w:r>
      <w:r>
        <w:t xml:space="preserve"> — Recommended (SHOULD)</w:t>
      </w:r>
    </w:p>
    <w:p>
      <w:pPr>
        <w:spacing w:before="0" w:after="120"/>
        <w:ind w:left="540"/>
      </w:pPr>
      <w:r>
        <w:t xml:space="preserve">Confirm the memorandum states what a subscriber must deliver, where funds are sent and whether they are held in escrow before admission, when closings occur, and that the general partner may accept or reject any subscription in whole or in part in its discretion. Confirm the date of the memorandum appears on the cover and that the document says how a supplement or amendment will be delivered: a stale memorandum circulated after a term has changed is the failure mode this item exists to prevent.</w:t>
      </w:r>
    </w:p>
    <w:p>
      <w:pPr>
        <w:keepNext/>
        <w:spacing w:before="200" w:after="80"/>
      </w:pPr>
      <w:r>
        <w:rPr>
          <w:rFonts w:ascii="Segoe UI Symbol" w:hAnsi="Segoe UI Symbol"/>
        </w:rPr>
        <w:t xml:space="preserve">☐  </w:t>
      </w:r>
      <w:r>
        <w:rPr>
          <w:b/>
        </w:rPr>
        <w:t xml:space="preserve">9.3  </w:t>
      </w:r>
      <w:r>
        <w:rPr>
          <w:b/>
        </w:rPr>
        <w:t xml:space="preserve">Cross-document check: subscription representations compared with eligibility standards</w:t>
      </w:r>
      <w:r>
        <w:t xml:space="preserve"> — Recommended (SHOULD)</w:t>
      </w:r>
    </w:p>
    <w:p>
      <w:pPr>
        <w:spacing w:before="0" w:after="120"/>
        <w:ind w:left="540"/>
      </w:pPr>
      <w:r>
        <w:t xml:space="preserve">Compare the subscription agreement's investor representations with every eligibility standard stated in the memorandum. Record the documents and versions compared, reviewer, review date, and any mismatch. The memorandum cannot establish which representations were signed, collected, or verified; this check belongs in a separate offering-compliance and closing checklist.</w:t>
      </w:r>
    </w:p>
    <w:p>
      <w:pPr>
        <w:spacing w:before="360" w:after="0"/>
      </w:pPr>
      <w:r>
        <w:rPr>
          <w:color w:val="666666"/>
          <w:sz w:val="16"/>
          <w:szCs w:val="16"/>
        </w:rPr>
        <w:t xml:space="preserve">Steven Obiajulu, J.D. edits this reviewer checklist for U.S. hedge fund private placement memorandum for a fully funded, open-end fund —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