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Hedge Fund Investor Questionnaire Reviewer Checklist</w:t>
      </w:r>
    </w:p>
    <w:p>
      <w:pPr>
        <w:spacing w:before="0" w:after="120"/>
      </w:pPr>
      <w:r>
        <w:rPr>
          <w:i/>
          <w:color w:val="444444"/>
        </w:rPr>
        <w:t xml:space="preserve">A reviewer checklist for a hedge fund investor questionnaire, a hedge fund here meaning an open-end private investment fund organized as a Delaware limited partnership and relying on Section 3(c)(1): whether its eligibility questions track the current rules and the fund's admission conditions, what it collects for benefit plan, tax, and anti-money-laundering purposes, the bad-actor and new-issue questions, and how it changes when the investment manager is organized outside the United States.</w:t>
      </w:r>
    </w:p>
    <w:p>
      <w:pPr>
        <w:spacing w:before="0" w:after="240"/>
      </w:pPr>
      <w:r>
        <w:rPr>
          <w:color w:val="666666"/>
          <w:sz w:val="18"/>
          <w:szCs w:val="18"/>
        </w:rPr>
        <w:t xml:space="preserve">By Steven Obiajulu, J.D. Last reviewed 2026-09-30. License: CC BY 4.0. https://openagreements.org/checklists/fund-formation/hedge-fund-investor-questionnaire</w:t>
      </w:r>
    </w:p>
    <w:p>
      <w:pPr>
        <w:spacing w:before="0" w:after="120"/>
      </w:pPr>
      <w:r>
        <w:t xml:space="preserve">This checklist is written first for the manager of an emerging or small hedge fund who is preparing the investor questionnaire, and second for a smaller investor completing it without counsel of their own. The questionnaire is where the fund learns the facts it relies on to admit an investor, keep its exclusion from the Investment Company Act, charge a performance allocation, and buy new issues. A manager uses the items to check that each question is current and matches the fund's documents; an investor uses them to understand why each question is asked.</w:t>
      </w:r>
    </w:p>
    <w:p>
      <w:pPr>
        <w:spacing w:before="0" w:after="120"/>
      </w:pPr>
      <w:r>
        <w:t xml:space="preserve">The subscription agreement has its own </w:t>
      </w:r>
      <w:r>
        <w:t xml:space="preserve">reviewer checklist</w:t>
      </w:r>
      <w:r>
        <w:t xml:space="preserve">, and the </w:t>
      </w:r>
      <w:r>
        <w:t xml:space="preserve">hedge fund formation practice guide</w:t>
      </w:r>
      <w:r>
        <w:t xml:space="preserve"> explains the rules behind the items. Completing it does not establish that any investor is eligible or that the fund complies with any law, which remain judgments for counsel.</w:t>
      </w:r>
    </w:p>
    <w:p>
      <w:pPr>
        <w:keepNext/>
        <w:spacing w:before="360" w:after="160"/>
      </w:pPr>
      <w:r>
        <w:rPr>
          <w:b/>
          <w:sz w:val="28"/>
          <w:szCs w:val="28"/>
        </w:rPr>
        <w:t xml:space="preserve">1. Eligibility questions</w:t>
      </w:r>
    </w:p>
    <w:p>
      <w:pPr>
        <w:keepNext/>
        <w:spacing w:before="200" w:after="80"/>
      </w:pPr>
      <w:r>
        <w:rPr>
          <w:rFonts w:ascii="Segoe UI Symbol" w:hAnsi="Segoe UI Symbol"/>
        </w:rPr>
        <w:t xml:space="preserve">☐  </w:t>
      </w:r>
      <w:r>
        <w:rPr>
          <w:b/>
        </w:rPr>
        <w:t xml:space="preserve">1.1  </w:t>
      </w:r>
      <w:r>
        <w:rPr>
          <w:b/>
        </w:rPr>
        <w:t xml:space="preserve">Accredited-investor categories match the current Rule 501(a)</w:t>
      </w:r>
      <w:r>
        <w:t xml:space="preserve"> — Recommended (SHOULD)</w:t>
      </w:r>
    </w:p>
    <w:p>
      <w:pPr>
        <w:spacing w:before="0" w:after="120"/>
        <w:ind w:left="540"/>
      </w:pPr>
      <w:r>
        <w:t xml:space="preserve">Compare the accredited-investor categories with the current text of Rule 501(a), not with an older questionnaire. The natural-person net-worth test excludes the primary residence, the income tests have separate individual and joint levels, and the rule now includes professional certifications, knowledgeable employees of the fund, family offices, and entities owning more than $5,000,000 in investments. Status is tested at the time of sale, so confirm the questionnaire is completed for each subscription, including additional contributions.</w:t>
      </w:r>
    </w:p>
    <w:p>
      <w:pPr>
        <w:keepNext/>
        <w:spacing w:before="200" w:after="80"/>
      </w:pPr>
      <w:r>
        <w:rPr>
          <w:rFonts w:ascii="Segoe UI Symbol" w:hAnsi="Segoe UI Symbol"/>
        </w:rPr>
        <w:t xml:space="preserve">☐  </w:t>
      </w:r>
      <w:r>
        <w:rPr>
          <w:b/>
        </w:rPr>
        <w:t xml:space="preserve">1.2  </w:t>
      </w:r>
      <w:r>
        <w:rPr>
          <w:b/>
        </w:rPr>
        <w:t xml:space="preserve">Qualified-client dollar thresholds taken from the most recent Commission order</w:t>
      </w:r>
      <w:r>
        <w:t xml:space="preserve"> — Required (MUST)</w:t>
      </w:r>
    </w:p>
    <w:p>
      <w:pPr>
        <w:spacing w:before="0" w:after="120"/>
        <w:ind w:left="540"/>
      </w:pPr>
      <w:r>
        <w:t xml:space="preserve">Where the questionnaire screens qualified-client status because the manager is registered or required to be registered and charges a performance allocation, the assets-under-management and net-worth amounts must be those in the Commission's most recent order under Rule 205-3, measured immediately after and immediately before the investor enters the contract. Confirm the questionnaire states the current amounts and the as-of date, and excludes the primary residence from a natural person's net worth.</w:t>
      </w:r>
    </w:p>
    <w:p>
      <w:pPr>
        <w:keepNext/>
        <w:spacing w:before="200" w:after="80"/>
      </w:pPr>
      <w:r>
        <w:rPr>
          <w:rFonts w:ascii="Segoe UI Symbol" w:hAnsi="Segoe UI Symbol"/>
        </w:rPr>
        <w:t xml:space="preserve">☐  </w:t>
      </w:r>
      <w:r>
        <w:rPr>
          <w:b/>
        </w:rPr>
        <w:t xml:space="preserve">1.3  </w:t>
      </w:r>
      <w:r>
        <w:rPr>
          <w:b/>
        </w:rPr>
        <w:t xml:space="preserve">Pooled investors: each equity owner bearing the allocation tested</w:t>
      </w:r>
      <w:r>
        <w:t xml:space="preserve"> — Required (MUST)</w:t>
      </w:r>
    </w:p>
    <w:p>
      <w:pPr>
        <w:spacing w:before="0" w:after="120"/>
        <w:ind w:left="540"/>
      </w:pPr>
      <w:r>
        <w:t xml:space="preserve">For an investor that is a private investment company, a registered investment company, or a business development company, Rule 205-3 treats each equity owner charged the performance compensation as the client. Where the qualified-client screen applies, confirm the questionnaire identifies those investors and collects the status of their equity owners rather than testing only the investing entity.</w:t>
      </w:r>
    </w:p>
    <w:p>
      <w:pPr>
        <w:keepNext/>
        <w:spacing w:before="200" w:after="80"/>
      </w:pPr>
      <w:r>
        <w:rPr>
          <w:rFonts w:ascii="Segoe UI Symbol" w:hAnsi="Segoe UI Symbol"/>
        </w:rPr>
        <w:t xml:space="preserve">☐  </w:t>
      </w:r>
      <w:r>
        <w:rPr>
          <w:b/>
        </w:rPr>
        <w:t xml:space="preserve">1.4  </w:t>
      </w:r>
      <w:r>
        <w:rPr>
          <w:b/>
        </w:rPr>
        <w:t xml:space="preserve">Questions cover every admission condition in the partnership agreement</w:t>
      </w:r>
      <w:r>
        <w:t xml:space="preserve"> — Recommended (SHOULD)</w:t>
      </w:r>
    </w:p>
    <w:p>
      <w:pPr>
        <w:spacing w:before="0" w:after="120"/>
        <w:ind w:left="540"/>
      </w:pPr>
      <w:r>
        <w:t xml:space="preserve">Confirm the questionnaire asks about every eligibility condition in the limited partnership agreement and no stricter one. If the partnership agreement requires every investor to be a qualified client, the questionnaire asks it of every investor, not only those charged a performance allocation.</w:t>
      </w:r>
    </w:p>
    <w:p>
      <w:pPr>
        <w:keepNext/>
        <w:spacing w:before="200" w:after="80"/>
      </w:pPr>
      <w:r>
        <w:rPr>
          <w:rFonts w:ascii="Segoe UI Symbol" w:hAnsi="Segoe UI Symbol"/>
        </w:rPr>
        <w:t xml:space="preserve">☐  </w:t>
      </w:r>
      <w:r>
        <w:rPr>
          <w:b/>
        </w:rPr>
        <w:t xml:space="preserve">1.5  </w:t>
      </w:r>
      <w:r>
        <w:rPr>
          <w:b/>
        </w:rPr>
        <w:t xml:space="preserve">Section 3(c)(1) beneficial-owner questions for entity investors</w:t>
      </w:r>
      <w:r>
        <w:t xml:space="preserve"> — Recommended (SHOULD)</w:t>
      </w:r>
    </w:p>
    <w:p>
      <w:pPr>
        <w:spacing w:before="0" w:after="120"/>
        <w:ind w:left="540"/>
      </w:pPr>
      <w:r>
        <w:t xml:space="preserve">Confirm an entity investor is asked whether it was formed to invest in the fund, whether the investment exceeds 40% of its assets, whether its owners choose individually whether to invest, and whether it is itself an investment company or a Section 3(c)(1) or 3(c)(7) fund, with the number of its beneficial owners where any answer is yes. These facts let the general partner decide whether to count the investor as one owner or look through it.</w:t>
      </w:r>
    </w:p>
    <w:p>
      <w:pPr>
        <w:keepNext/>
        <w:spacing w:before="200" w:after="80"/>
      </w:pPr>
      <w:r>
        <w:rPr>
          <w:rFonts w:ascii="Segoe UI Symbol" w:hAnsi="Segoe UI Symbol"/>
        </w:rPr>
        <w:t xml:space="preserve">☐  </w:t>
      </w:r>
      <w:r>
        <w:rPr>
          <w:b/>
        </w:rPr>
        <w:t xml:space="preserve">1.6  </w:t>
      </w:r>
      <w:r>
        <w:rPr>
          <w:b/>
        </w:rPr>
        <w:t xml:space="preserve">Section 3(c)(7) fund: qualified-purchaser status at acquisition</w:t>
      </w:r>
      <w:r>
        <w:t xml:space="preserve"> — Required (MUST)</w:t>
      </w:r>
    </w:p>
    <w:p>
      <w:pPr>
        <w:spacing w:before="0" w:after="120"/>
        <w:ind w:left="540"/>
      </w:pPr>
      <w:r>
        <w:t xml:space="preserve">A fund that relies on Section 3(c)(7) must be owned exclusively by persons who were qualified purchasers when they acquired their interests. If the fund relies on Section 3(c)(7), confirm the questionnaire asks the qualified-purchaser questions of every investor, and that the fund's partnership agreement and memorandum have been conformed to that exclusion.</w:t>
      </w:r>
    </w:p>
    <w:p>
      <w:pPr>
        <w:keepNext/>
        <w:spacing w:before="360" w:after="160"/>
      </w:pPr>
      <w:r>
        <w:rPr>
          <w:b/>
          <w:sz w:val="28"/>
          <w:szCs w:val="28"/>
        </w:rPr>
        <w:t xml:space="preserve">2. Plan, tax, and anti-money-laundering information</w:t>
      </w:r>
    </w:p>
    <w:p>
      <w:pPr>
        <w:keepNext/>
        <w:spacing w:before="200" w:after="80"/>
      </w:pPr>
      <w:r>
        <w:rPr>
          <w:rFonts w:ascii="Segoe UI Symbol" w:hAnsi="Segoe UI Symbol"/>
        </w:rPr>
        <w:t xml:space="preserve">☐  </w:t>
      </w:r>
      <w:r>
        <w:rPr>
          <w:b/>
        </w:rPr>
        <w:t xml:space="preserve">2.1  </w:t>
      </w:r>
      <w:r>
        <w:rPr>
          <w:b/>
        </w:rPr>
        <w:t xml:space="preserve">Benefit plan status asked by type of plan, with the plan-investor share of an entity</w:t>
      </w:r>
      <w:r>
        <w:t xml:space="preserve"> — Recommended (SHOULD)</w:t>
      </w:r>
    </w:p>
    <w:p>
      <w:pPr>
        <w:spacing w:before="0" w:after="120"/>
        <w:ind w:left="540"/>
      </w:pPr>
      <w:r>
        <w:t xml:space="preserve">Confirm the questionnaire asks which kind of plan or account the investor is, or whether it invests plan assets, and, for an investing entity whose assets include plan assets, the percentage of each class of its equity held by benefit plan investors. The general partner needs those facts to apply the 25% test to each class of the fund's interests after every subscription and transfer.</w:t>
      </w:r>
    </w:p>
    <w:p>
      <w:pPr>
        <w:keepNext/>
        <w:spacing w:before="200" w:after="80"/>
      </w:pPr>
      <w:r>
        <w:rPr>
          <w:rFonts w:ascii="Segoe UI Symbol" w:hAnsi="Segoe UI Symbol"/>
        </w:rPr>
        <w:t xml:space="preserve">☐  </w:t>
      </w:r>
      <w:r>
        <w:rPr>
          <w:b/>
        </w:rPr>
        <w:t xml:space="preserve">2.2  </w:t>
      </w:r>
      <w:r>
        <w:rPr>
          <w:b/>
        </w:rPr>
        <w:t xml:space="preserve">Form W-9 or the applicable Form W-8, tax-exempt status, and taxable year</w:t>
      </w:r>
      <w:r>
        <w:t xml:space="preserve"> — Recommended (SHOULD)</w:t>
      </w:r>
    </w:p>
    <w:p>
      <w:pPr>
        <w:spacing w:before="0" w:after="120"/>
        <w:ind w:left="540"/>
      </w:pPr>
      <w:r>
        <w:t xml:space="preserve">Confirm the questionnaire asks whether the investor is a United States person and requests a Form W-9 or the applicable Form W-8, whether it is tax-exempt and on what basis, and its taxable year, and that it points to the fund's Foreign Account Tax Compliance Act and Common Reporting Standard self-certification rather than reproducing it.</w:t>
      </w:r>
    </w:p>
    <w:p>
      <w:pPr>
        <w:keepNext/>
        <w:spacing w:before="200" w:after="80"/>
      </w:pPr>
      <w:r>
        <w:rPr>
          <w:rFonts w:ascii="Segoe UI Symbol" w:hAnsi="Segoe UI Symbol"/>
        </w:rPr>
        <w:t xml:space="preserve">☐  </w:t>
      </w:r>
      <w:r>
        <w:rPr>
          <w:b/>
        </w:rPr>
        <w:t xml:space="preserve">2.3  </w:t>
      </w:r>
      <w:r>
        <w:rPr>
          <w:b/>
        </w:rPr>
        <w:t xml:space="preserve">Beneficial owners and one control person identified for entity investors</w:t>
      </w:r>
      <w:r>
        <w:t xml:space="preserve"> — Recommended (SHOULD)</w:t>
      </w:r>
    </w:p>
    <w:p>
      <w:pPr>
        <w:spacing w:before="0" w:after="120"/>
        <w:ind w:left="540"/>
      </w:pPr>
      <w:r>
        <w:t xml:space="preserve">Confirm an entity investor is asked for each individual who owns 25% or more of it and one individual with significant responsibility for managing it, with identifying information, and that the questionnaire reserves the fund's right to request documents to verify them and the source of funds. Match the questions to the fund's and administrator's actual onboarding procedures.</w:t>
      </w:r>
    </w:p>
    <w:p>
      <w:pPr>
        <w:keepNext/>
        <w:spacing w:before="200" w:after="80"/>
      </w:pPr>
      <w:r>
        <w:rPr>
          <w:rFonts w:ascii="Segoe UI Symbol" w:hAnsi="Segoe UI Symbol"/>
        </w:rPr>
        <w:t xml:space="preserve">☐  </w:t>
      </w:r>
      <w:r>
        <w:rPr>
          <w:b/>
        </w:rPr>
        <w:t xml:space="preserve">2.4  </w:t>
      </w:r>
      <w:r>
        <w:rPr>
          <w:b/>
        </w:rPr>
        <w:t xml:space="preserve">Sanctions list, Section 311 jurisdiction, senior foreign political figure, and shell bank questions</w:t>
      </w:r>
      <w:r>
        <w:t xml:space="preserve"> — Recommended (SHOULD)</w:t>
      </w:r>
    </w:p>
    <w:p>
      <w:pPr>
        <w:spacing w:before="0" w:after="120"/>
        <w:ind w:left="540"/>
      </w:pPr>
      <w:r>
        <w:t xml:space="preserve">Confirm the questionnaire asks, for the investor and its identified owners and control person, whether any of them is on the Office of Foreign Assets Control's sanctions lists, is in a jurisdiction subject to a special measure under Section 311 of the USA PATRIOT Act, is a senior foreign political figure or a family member or close associate of one, or is or banks through a foreign shell bank, with an explanation for any yes.</w:t>
      </w:r>
    </w:p>
    <w:p>
      <w:pPr>
        <w:keepNext/>
        <w:spacing w:before="360" w:after="160"/>
      </w:pPr>
      <w:r>
        <w:rPr>
          <w:b/>
          <w:sz w:val="28"/>
          <w:szCs w:val="28"/>
        </w:rPr>
        <w:t xml:space="preserve">3. Bad-actor, new-issue, and public-records questions</w:t>
      </w:r>
    </w:p>
    <w:p>
      <w:pPr>
        <w:keepNext/>
        <w:spacing w:before="200" w:after="80"/>
      </w:pPr>
      <w:r>
        <w:rPr>
          <w:rFonts w:ascii="Segoe UI Symbol" w:hAnsi="Segoe UI Symbol"/>
        </w:rPr>
        <w:t xml:space="preserve">☐  </w:t>
      </w:r>
      <w:r>
        <w:rPr>
          <w:b/>
        </w:rPr>
        <w:t xml:space="preserve">3.1  </w:t>
      </w:r>
      <w:r>
        <w:rPr>
          <w:b/>
        </w:rPr>
        <w:t xml:space="preserve">Rule 506(d) disqualification questions for a prospective 20% holder</w:t>
      </w:r>
      <w:r>
        <w:t xml:space="preserve"> — Required (MUST)</w:t>
      </w:r>
    </w:p>
    <w:p>
      <w:pPr>
        <w:spacing w:before="0" w:after="120"/>
        <w:ind w:left="540"/>
      </w:pPr>
      <w:r>
        <w:t xml:space="preserve">A beneficial owner of 20% or more of the fund's outstanding voting equity securities, calculated on the basis of voting power, is a covered person under Rule 506(d), and the reasonable-care exception requires factual inquiry. Because ownership can be direct or indirect, confirm the questionnaire identifies each person that would reach the threshold through the investor, with its ownership chain and percentage calculated by voting power as the rule does, and asks each of them about the disqualifying events and their dates.</w:t>
      </w:r>
    </w:p>
    <w:p>
      <w:pPr>
        <w:keepNext/>
        <w:spacing w:before="200" w:after="80"/>
      </w:pPr>
      <w:r>
        <w:rPr>
          <w:rFonts w:ascii="Segoe UI Symbol" w:hAnsi="Segoe UI Symbol"/>
        </w:rPr>
        <w:t xml:space="preserve">☐  </w:t>
      </w:r>
      <w:r>
        <w:rPr>
          <w:b/>
        </w:rPr>
        <w:t xml:space="preserve">3.2  </w:t>
      </w:r>
      <w:r>
        <w:rPr>
          <w:b/>
        </w:rPr>
        <w:t xml:space="preserve">FINRA Rule 5130 restricted-person and exemption questions</w:t>
      </w:r>
      <w:r>
        <w:t xml:space="preserve"> — Recommended (SHOULD)</w:t>
      </w:r>
    </w:p>
    <w:p>
      <w:pPr>
        <w:spacing w:before="0" w:after="120"/>
        <w:ind w:left="540"/>
      </w:pPr>
      <w:r>
        <w:t xml:space="preserve">Confirm the questionnaire asks whether the investor or anyone with a beneficial interest in it falls in a Rule 5130 restricted-person category, what share of the investor those persons hold, and whether the investor is an exempt account. The immediate-family categories turn on material support, which Rule 5130 deems to exist between family members living in the same household, so confirm the questions collect household as well as income facts.</w:t>
      </w:r>
      <w:r>
        <w:t xml:space="preserve"> A broker-dealer must obtain a representation within twelve months before selling the fund a new issue, so the fund also needs a way to refresh the answers at least annually.</w:t>
      </w:r>
    </w:p>
    <w:p>
      <w:pPr>
        <w:keepNext/>
        <w:spacing w:before="200" w:after="80"/>
      </w:pPr>
      <w:r>
        <w:rPr>
          <w:rFonts w:ascii="Segoe UI Symbol" w:hAnsi="Segoe UI Symbol"/>
        </w:rPr>
        <w:t xml:space="preserve">☐  </w:t>
      </w:r>
      <w:r>
        <w:rPr>
          <w:b/>
        </w:rPr>
        <w:t xml:space="preserve">3.3  </w:t>
      </w:r>
      <w:r>
        <w:rPr>
          <w:b/>
        </w:rPr>
        <w:t xml:space="preserve">FINRA Rule 5131 executive officer and director question</w:t>
      </w:r>
      <w:r>
        <w:t xml:space="preserve"> — Recommended (SHOULD)</w:t>
      </w:r>
    </w:p>
    <w:p>
      <w:pPr>
        <w:spacing w:before="0" w:after="120"/>
        <w:ind w:left="540"/>
      </w:pPr>
      <w:r>
        <w:t xml:space="preserve">Confirm the questionnaire asks whether the investor, or anyone with a beneficial interest in it, is an executive officer or director of a public company or a covered non-public company, or is materially supported by one, and which companies. Rule 5131 treats people in the same household as materially supporting each other, so confirm the question reaches a household member regardless of income, and asks the listing and financial facts that decide whether a company is covered.</w:t>
      </w:r>
      <w:r>
        <w:t xml:space="preserve"> Rule 5130 status does not answer this question.</w:t>
      </w:r>
    </w:p>
    <w:p>
      <w:pPr>
        <w:keepNext/>
        <w:spacing w:before="200" w:after="80"/>
      </w:pPr>
      <w:r>
        <w:rPr>
          <w:rFonts w:ascii="Segoe UI Symbol" w:hAnsi="Segoe UI Symbol"/>
        </w:rPr>
        <w:t xml:space="preserve">☐  </w:t>
      </w:r>
      <w:r>
        <w:rPr>
          <w:b/>
        </w:rPr>
        <w:t xml:space="preserve">3.4  </w:t>
      </w:r>
      <w:r>
        <w:rPr>
          <w:b/>
        </w:rPr>
        <w:t xml:space="preserve">Public-records law status and the laws involved</w:t>
      </w:r>
      <w:r>
        <w:t xml:space="preserve"> — Recommended (SHOULD)</w:t>
      </w:r>
    </w:p>
    <w:p>
      <w:pPr>
        <w:spacing w:before="0" w:after="120"/>
        <w:ind w:left="540"/>
      </w:pPr>
      <w:r>
        <w:t xml:space="preserve">Confirm the questionnaire asks whether the investor is subject to the Freedom of Information Act, a state public-records law, or a similar law, and which ones, so the general partner can decide what confidential information to share with it.</w:t>
      </w:r>
    </w:p>
    <w:p>
      <w:pPr>
        <w:keepNext/>
        <w:spacing w:before="360" w:after="160"/>
      </w:pPr>
      <w:r>
        <w:rPr>
          <w:b/>
          <w:sz w:val="28"/>
          <w:szCs w:val="28"/>
        </w:rPr>
        <w:t xml:space="preserve">4. How the questionnaire is written</w:t>
      </w:r>
    </w:p>
    <w:p>
      <w:pPr>
        <w:keepNext/>
        <w:spacing w:before="200" w:after="80"/>
      </w:pPr>
      <w:r>
        <w:rPr>
          <w:rFonts w:ascii="Segoe UI Symbol" w:hAnsi="Segoe UI Symbol"/>
        </w:rPr>
        <w:t xml:space="preserve">☐  </w:t>
      </w:r>
      <w:r>
        <w:rPr>
          <w:b/>
        </w:rPr>
        <w:t xml:space="preserve">4.1  </w:t>
      </w:r>
      <w:r>
        <w:rPr>
          <w:b/>
        </w:rPr>
        <w:t xml:space="preserve">Questions about facts, with the general partner applying the definitions</w:t>
      </w:r>
      <w:r>
        <w:t xml:space="preserve"> — Recommended (SHOULD)</w:t>
      </w:r>
    </w:p>
    <w:p>
      <w:pPr>
        <w:spacing w:before="0" w:after="120"/>
        <w:ind w:left="540"/>
      </w:pPr>
      <w:r>
        <w:t xml:space="preserve">Check that each question asks for a fact the investor knows or can find out, such as an amount, a relationship, a license held, a form filed, or an event and its date, rather than for a bare conclusion, such as a statement that the investor is not a restricted person. Where a legal category has to be named, the question should describe it in terms of those facts. This makes the answers more reliable and makes an error easier to trace.</w:t>
      </w:r>
    </w:p>
    <w:p>
      <w:pPr>
        <w:keepNext/>
        <w:spacing w:before="200" w:after="80"/>
      </w:pPr>
      <w:r>
        <w:rPr>
          <w:rFonts w:ascii="Segoe UI Symbol" w:hAnsi="Segoe UI Symbol"/>
        </w:rPr>
        <w:t xml:space="preserve">☐  </w:t>
      </w:r>
      <w:r>
        <w:rPr>
          <w:b/>
        </w:rPr>
        <w:t xml:space="preserve">4.2  </w:t>
      </w:r>
      <w:r>
        <w:rPr>
          <w:b/>
        </w:rPr>
        <w:t xml:space="preserve">Duty to update, and a refresh for each additional contribution</w:t>
      </w:r>
      <w:r>
        <w:t xml:space="preserve"> — Recommended (SHOULD)</w:t>
      </w:r>
    </w:p>
    <w:p>
      <w:pPr>
        <w:spacing w:before="0" w:after="120"/>
        <w:ind w:left="540"/>
      </w:pPr>
      <w:r>
        <w:t xml:space="preserve">Confirm the questionnaire requires the investor to report when an answer stops being accurate, and that the fund's process asks for a confirmation or new questionnaire with each additional contribution and at least annually for the new-issue answers. Eligibility is tested at each sale, so a questionnaire completed on first subscription does not by itself cover a later contribution.</w:t>
      </w:r>
    </w:p>
    <w:p>
      <w:pPr>
        <w:keepNext/>
        <w:spacing w:before="360" w:after="160"/>
      </w:pPr>
      <w:r>
        <w:rPr>
          <w:b/>
          <w:sz w:val="28"/>
          <w:szCs w:val="28"/>
        </w:rPr>
        <w:t xml:space="preserve">5. Investment manager outside the United States</w:t>
      </w:r>
    </w:p>
    <w:p>
      <w:pPr>
        <w:keepNext/>
        <w:spacing w:before="200" w:after="80"/>
      </w:pPr>
      <w:r>
        <w:rPr>
          <w:rFonts w:ascii="Segoe UI Symbol" w:hAnsi="Segoe UI Symbol"/>
        </w:rPr>
        <w:t xml:space="preserve">☐  </w:t>
      </w:r>
      <w:r>
        <w:rPr>
          <w:b/>
        </w:rPr>
        <w:t xml:space="preserve">5.1  </w:t>
      </w:r>
      <w:r>
        <w:rPr>
          <w:b/>
        </w:rPr>
        <w:t xml:space="preserve">Drafting note: which questions change for a manager outside the United States</w:t>
      </w:r>
      <w:r>
        <w:t xml:space="preserve"> — Recommended (SHOULD)</w:t>
      </w:r>
    </w:p>
    <w:p>
      <w:pPr>
        <w:spacing w:before="0" w:after="120"/>
        <w:ind w:left="540"/>
      </w:pPr>
      <w:r>
        <w:t xml:space="preserve">Where the investment manager is organized and regulated outside the United States, confirm where its principal office and place of business is, since the non-U.S. private fund adviser exemption turns on that rather than on where the manager is organized, and then confirm its status under the Investment Advisers Act first: registered with the Commission, exempt as a non-U.S. private fund adviser, or a foreign private adviser. Then adjust the questionnaire:</w:t>
      </w:r>
    </w:p>
    <w:p>
      <w:pPr>
        <w:spacing w:before="0" w:after="60"/>
        <w:ind w:left="810"/>
      </w:pPr>
      <w:r>
        <w:t xml:space="preserve">1. </w:t>
      </w:r>
      <w:r>
        <w:t xml:space="preserve">The qualified-client section is a legal requirement only for a manager registered or required to be registered with the Commission. For a manager that is neither, keep it if the partnership agreement requires it as an admission condition, and state the assets-under-management question in terms of assets under that manager's management.</w:t>
      </w:r>
    </w:p>
    <w:p>
      <w:pPr>
        <w:spacing w:before="0" w:after="60"/>
        <w:ind w:left="810"/>
      </w:pPr>
      <w:r>
        <w:t xml:space="preserve">2. </w:t>
      </w:r>
      <w:r>
        <w:t xml:space="preserve">A foreign private adviser must have fewer than 15 U.S. clients and investors, and less than $25 million attributable to them, so ask each investor whether it is in the United States and count U.S. investors across all of the manager's private funds, not only this one.</w:t>
      </w:r>
    </w:p>
    <w:p>
      <w:pPr>
        <w:spacing w:before="0" w:after="60"/>
        <w:ind w:left="810"/>
      </w:pPr>
      <w:r>
        <w:t xml:space="preserve">3. </w:t>
      </w:r>
      <w:r>
        <w:t xml:space="preserve">Keep the tax, anti-money-laundering, benefit plan, bad-actor, and new-issue questions, which depend on the fund and its investors rather than on where the manager is based, and add any information the manager's home regulator requires.</w:t>
      </w:r>
    </w:p>
    <w:p>
      <w:pPr>
        <w:spacing w:before="0" w:after="60"/>
        <w:ind w:left="810"/>
      </w:pPr>
      <w:r>
        <w:t xml:space="preserve">4. </w:t>
      </w:r>
      <w:r>
        <w:t xml:space="preserve">If the manager's home law regulates its processing of investor data, add the notice that law requires.</w:t>
      </w:r>
    </w:p>
    <w:p>
      <w:pPr>
        <w:spacing w:before="360" w:after="0"/>
      </w:pPr>
      <w:r>
        <w:rPr>
          <w:color w:val="666666"/>
          <w:sz w:val="16"/>
          <w:szCs w:val="16"/>
        </w:rPr>
        <w:t xml:space="preserve">Steven Obiajulu, J.D. edits this reviewer checklist for U.S. hedge fund investor questionnaire for a fully funded, open-end fund, read with its subscription agreement and limited partnership agreement. Not a closed-end drawdown fund such as a private equity fund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