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48"/>
          <w:szCs w:val="48"/>
        </w:rPr>
        <w:t xml:space="preserve">Asset Purchase Reviewer Checklist</w:t>
      </w:r>
    </w:p>
    <w:p>
      <w:pPr>
        <w:spacing w:before="0" w:after="120"/>
      </w:pPr>
      <w:r>
        <w:rPr>
          <w:i/>
          <w:color w:val="444444"/>
        </w:rPr>
        <w:t xml:space="preserve">Reviewer checks for the asset sale, its optional terms and the conditions that make each safeguard relevant.</w:t>
      </w:r>
    </w:p>
    <w:p>
      <w:pPr>
        <w:spacing w:before="0" w:after="240"/>
      </w:pPr>
      <w:r>
        <w:rPr>
          <w:color w:val="666666"/>
          <w:sz w:val="18"/>
          <w:szCs w:val="18"/>
        </w:rPr>
        <w:t xml:space="preserve">By Steven Obiajulu, J.D. Last updated 2026-09-16. License: CC BY 4.0. https://openagreements.org/checklists/asset-purchase/us</w:t>
      </w:r>
    </w:p>
    <w:p>
      <w:pPr>
        <w:spacing w:before="0" w:after="120"/>
      </w:pPr>
      <w:r>
        <w:t xml:space="preserve">The checklist reads an asset purchase agreement as a contract under the state law the parties choose, together with the tax-reporting and successor-liability questions the </w:t>
      </w:r>
      <w:r>
        <w:t xml:space="preserve">practice guide</w:t>
      </w:r>
      <w:r>
        <w:t xml:space="preserve"> covers. Optional means the parties may choose the provision. Recommended safeguards under an optional provision apply only if it is selected; they do not recommend selecting it. An unchecked review box is not a deal election.</w:t>
      </w:r>
    </w:p>
    <w:p>
      <w:pPr>
        <w:spacing w:before="0" w:after="120"/>
      </w:pPr>
      <w:r>
        <w:t xml:space="preserve">This checklist states drafting expectations, not a guarantee of enforceability. The </w:t>
      </w:r>
      <w:r>
        <w:t xml:space="preserve">Online Business Asset Purchase Agreement</w:t>
      </w:r>
      <w:r>
        <w:t xml:space="preserve"> creates a binding agreement before a scheduled Closing and requires express interim-period, condition, delivery and termination mechanics.</w:t>
      </w:r>
    </w:p>
    <w:p>
      <w:pPr>
        <w:keepNext/>
        <w:spacing w:before="360" w:after="160"/>
      </w:pPr>
      <w:r>
        <w:rPr>
          <w:b/>
          <w:sz w:val="28"/>
          <w:szCs w:val="28"/>
        </w:rPr>
        <w:t xml:space="preserve">1. Scope and allocation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1.1  </w:t>
      </w:r>
      <w:r>
        <w:rPr>
          <w:b/>
        </w:rPr>
        <w:t xml:space="preserve">Identify parties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Match every payment, conveyance and signature obligation to a named party.</w:t>
      </w:r>
    </w:p>
    <w:p>
      <w:pPr>
        <w:spacing w:before="0" w:after="120"/>
        <w:ind w:left="540"/>
      </w:pPr>
      <w:r>
        <w:t xml:space="preserve">The agreement SHOULD identify each purchaser and seller by legal name and signing capacity.</w:t>
      </w:r>
    </w:p>
    <w:p>
      <w:pPr>
        <w:spacing w:before="0" w:after="120"/>
        <w:ind w:left="540"/>
      </w:pPr>
      <w:r>
        <w:t xml:space="preserve">Entity/individual capacity and additional asset owners remain fact-dependent.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1.2  </w:t>
      </w:r>
      <w:r>
        <w:rPr>
          <w:b/>
        </w:rPr>
        <w:t xml:space="preserve">Confirm asset sale scope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Trace the operative grant to assets; flag stock, membership interests or alternative transaction branches.</w:t>
      </w:r>
    </w:p>
    <w:p>
      <w:pPr>
        <w:spacing w:before="0" w:after="120"/>
        <w:ind w:left="540"/>
      </w:pPr>
      <w:r>
        <w:t xml:space="preserve">The agreement SHOULD identify the transaction as a transfer of specified assets rather than a transfer of ownership interests in the seller.</w:t>
      </w:r>
    </w:p>
    <w:p>
      <w:pPr>
        <w:spacing w:before="0" w:after="120"/>
        <w:ind w:left="540"/>
      </w:pPr>
      <w:r>
        <w:t xml:space="preserve">Equity or mixed transactions require separately scoped review.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1.3  </w:t>
      </w:r>
      <w:r>
        <w:rPr>
          <w:b/>
        </w:rPr>
        <w:t xml:space="preserve">Identify purchased assets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For each asset class, locate the grant and a way to identify its members.</w:t>
      </w:r>
    </w:p>
    <w:p>
      <w:pPr>
        <w:spacing w:before="0" w:after="120"/>
        <w:ind w:left="540"/>
      </w:pPr>
      <w:r>
        <w:t xml:space="preserve">The agreement SHOULD identify the purchased assets through a schedule or other objectively ascertainable description.</w:t>
      </w:r>
    </w:p>
    <w:p>
      <w:pPr>
        <w:spacing w:before="0" w:after="120"/>
        <w:ind w:left="540"/>
      </w:pPr>
      <w:r>
        <w:t xml:space="preserve">The grant may enumerate assets, convey a bounded business-wide category, or both.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1.4  </w:t>
      </w:r>
      <w:r>
        <w:rPr>
          <w:b/>
        </w:rPr>
        <w:t xml:space="preserve">Identify excluded assets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Trace every exclusion against the grant; an express none election is assessable.</w:t>
      </w:r>
    </w:p>
    <w:p>
      <w:pPr>
        <w:spacing w:before="0" w:after="120"/>
        <w:ind w:left="540"/>
      </w:pPr>
      <w:r>
        <w:t xml:space="preserve">The agreement SHOULD identify assets retained by the seller and resolve conflicts with the purchased-asset description.</w:t>
      </w:r>
    </w:p>
    <w:p>
      <w:pPr>
        <w:spacing w:before="0" w:after="120"/>
        <w:ind w:left="540"/>
      </w:pPr>
      <w:r>
        <w:t xml:space="preserve">Cash, receivables, names and shared tools are choices, not automatic exclusions.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1.5  </w:t>
      </w:r>
      <w:r>
        <w:rPr>
          <w:b/>
        </w:rPr>
        <w:t xml:space="preserve">Identify assumed liabilities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Match each assumed category to an obligation, period and responsible party.</w:t>
      </w:r>
    </w:p>
    <w:p>
      <w:pPr>
        <w:spacing w:before="0" w:after="120"/>
        <w:ind w:left="540"/>
      </w:pPr>
      <w:r>
        <w:t xml:space="preserve">The agreement SHOULD identify the obligations the purchaser expressly assumes.</w:t>
      </w:r>
    </w:p>
    <w:p>
      <w:pPr>
        <w:spacing w:before="0" w:after="120"/>
        <w:ind w:left="540"/>
      </w:pPr>
      <w:r>
        <w:t xml:space="preserve">Categories are limited or broadened deliberately; third-party exposure requires separate review. An asset-sale structure does not by itself rule out successor liability, a theory that has expanded over time.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1.6  </w:t>
      </w:r>
      <w:r>
        <w:rPr>
          <w:b/>
        </w:rPr>
        <w:t xml:space="preserve">Identify retained liabilities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Read the retained-liability rule together with every assumption and exception.</w:t>
      </w:r>
    </w:p>
    <w:p>
      <w:pPr>
        <w:spacing w:before="0" w:after="120"/>
        <w:ind w:left="540"/>
      </w:pPr>
      <w:r>
        <w:t xml:space="preserve">The agreement SHOULD allocate liabilities not expressly assumed to the seller as between the parties.</w:t>
      </w:r>
    </w:p>
    <w:p>
      <w:pPr>
        <w:spacing w:before="0" w:after="120"/>
        <w:ind w:left="540"/>
      </w:pPr>
      <w:r>
        <w:t xml:space="preserve">This criterion evaluates the allocation between the contracting parties; third-party exposure requires separate review. A seller's creditors are not parties to the agreement and are not bound by it; a bankruptcy-court or other judicial sale may be an exception.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1.7  </w:t>
      </w:r>
      <w:r>
        <w:rPr>
          <w:b/>
        </w:rPr>
        <w:t xml:space="preserve">Set performance cutoff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Locate date, time and treatment of transactions spanning the cutoff.</w:t>
      </w:r>
    </w:p>
    <w:p>
      <w:pPr>
        <w:spacing w:before="0" w:after="120"/>
        <w:ind w:left="540"/>
      </w:pPr>
      <w:r>
        <w:t xml:space="preserve">The agreement SHOULD state the effective cutoff for allocating business receipts, expenses and performance between the parties.</w:t>
      </w:r>
    </w:p>
    <w:p>
      <w:pPr>
        <w:spacing w:before="0" w:after="120"/>
        <w:ind w:left="540"/>
      </w:pPr>
      <w:r>
        <w:t xml:space="preserve">Closing time and economic effective time may differ if expressly reconciled.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360" w:after="160"/>
      </w:pPr>
      <w:r>
        <w:rPr>
          <w:b/>
          <w:sz w:val="28"/>
          <w:szCs w:val="28"/>
        </w:rPr>
        <w:t xml:space="preserve">2. Digital assets and rights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2.1  </w:t>
      </w:r>
      <w:r>
        <w:rPr>
          <w:b/>
        </w:rPr>
        <w:t xml:space="preserve">Establish ip chain of title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intellectual property is included, review the following safeguard. Otherwise mark it not applicable.</w:t>
      </w:r>
    </w:p>
    <w:p>
      <w:pPr>
        <w:spacing w:before="0" w:after="120"/>
        <w:ind w:left="540"/>
      </w:pPr>
      <w:r>
        <w:t xml:space="preserve">Trace material IP to creation or acquisition records and identify missing assignments.</w:t>
      </w:r>
    </w:p>
    <w:p>
      <w:pPr>
        <w:spacing w:before="0" w:after="120"/>
        <w:ind w:left="540"/>
      </w:pPr>
      <w:r>
        <w:t xml:space="preserve">The agreement SHOULD require disclosure of the basis on which the seller owns the intellectual property being transferred.</w:t>
      </w:r>
    </w:p>
    <w:p>
      <w:pPr>
        <w:spacing w:before="0" w:after="120"/>
        <w:ind w:left="540"/>
      </w:pPr>
      <w:r>
        <w:t xml:space="preserve">Qualifiers and remediation for missing records remain negotiable.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2.2  </w:t>
      </w:r>
      <w:r>
        <w:rPr>
          <w:b/>
        </w:rPr>
        <w:t xml:space="preserve">Effect ip transfer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intellectual property is included, review the following safeguard. Otherwise mark it not applicable.</w:t>
      </w:r>
    </w:p>
    <w:p>
      <w:pPr>
        <w:spacing w:before="0" w:after="120"/>
        <w:ind w:left="540"/>
      </w:pPr>
      <w:r>
        <w:t xml:space="preserve">Locate the conveyance and identify any separate instrument needed to complete it.</w:t>
      </w:r>
    </w:p>
    <w:p>
      <w:pPr>
        <w:spacing w:before="0" w:after="120"/>
        <w:ind w:left="540"/>
      </w:pPr>
      <w:r>
        <w:t xml:space="preserve">The agreement SHOULD provide an operative transfer mechanism for the included intellectual property.</w:t>
      </w:r>
    </w:p>
    <w:p>
      <w:pPr>
        <w:spacing w:before="0" w:after="120"/>
        <w:ind w:left="540"/>
      </w:pPr>
      <w:r>
        <w:t xml:space="preserve">Instrument form and formalities require asset- and jurisdiction-specific review.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2.3  </w:t>
      </w:r>
      <w:r>
        <w:rPr>
          <w:b/>
        </w:rPr>
        <w:t xml:space="preserve">Inventory third party licenses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third-party dependencies exist, review the following safeguard. Otherwise mark it not applicable.</w:t>
      </w:r>
    </w:p>
    <w:p>
      <w:pPr>
        <w:spacing w:before="0" w:after="120"/>
        <w:ind w:left="540"/>
      </w:pPr>
      <w:r>
        <w:t xml:space="preserve">Locate license/provider, covered component and restriction information for each material dependency.</w:t>
      </w:r>
    </w:p>
    <w:p>
      <w:pPr>
        <w:spacing w:before="0" w:after="120"/>
        <w:ind w:left="540"/>
      </w:pPr>
      <w:r>
        <w:t xml:space="preserve">The agreement SHOULD identify third-party rights needed to use the transferred business assets.</w:t>
      </w:r>
    </w:p>
    <w:p>
      <w:pPr>
        <w:spacing w:before="0" w:after="120"/>
        <w:ind w:left="540"/>
      </w:pPr>
      <w:r>
        <w:t xml:space="preserve">Open-source, commercial, stock-media and hosted-service dependencies merit separate entries.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2.4  </w:t>
      </w:r>
      <w:r>
        <w:rPr>
          <w:b/>
        </w:rPr>
        <w:t xml:space="preserve">Address shared retained ip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operation depends on retained intellectual property, review the following safeguard. Otherwise mark it not applicable.</w:t>
      </w:r>
    </w:p>
    <w:p>
      <w:pPr>
        <w:spacing w:before="0" w:after="120"/>
        <w:ind w:left="540"/>
      </w:pPr>
      <w:r>
        <w:t xml:space="preserve">Locate permitted use, duration and termination terms for the retained dependency.</w:t>
      </w:r>
    </w:p>
    <w:p>
      <w:pPr>
        <w:spacing w:before="0" w:after="120"/>
        <w:ind w:left="540"/>
      </w:pPr>
      <w:r>
        <w:t xml:space="preserve">The agreement SHOULD specify the purchaser's post-closing use rights in retained seller intellectual property needed by the business.</w:t>
      </w:r>
    </w:p>
    <w:p>
      <w:pPr>
        <w:spacing w:before="0" w:after="120"/>
        <w:ind w:left="540"/>
      </w:pPr>
      <w:r>
        <w:t xml:space="preserve">License, replacement or elimination of the dependency are alternatives.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360" w:after="160"/>
      </w:pPr>
      <w:r>
        <w:rPr>
          <w:b/>
          <w:sz w:val="28"/>
          <w:szCs w:val="28"/>
        </w:rPr>
        <w:t xml:space="preserve">3. Platforms and contracts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3.1  </w:t>
      </w:r>
      <w:r>
        <w:rPr>
          <w:b/>
        </w:rPr>
        <w:t xml:space="preserve">Identify assigned contracts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customer or vendor contracts are involved, review the following safeguard. Otherwise mark it not applicable.</w:t>
      </w:r>
    </w:p>
    <w:p>
      <w:pPr>
        <w:spacing w:before="0" w:after="120"/>
        <w:ind w:left="540"/>
      </w:pPr>
      <w:r>
        <w:t xml:space="preserve">Match the schedule to customer subscriptions, suppliers and operational services.</w:t>
      </w:r>
    </w:p>
    <w:p>
      <w:pPr>
        <w:spacing w:before="0" w:after="120"/>
        <w:ind w:left="540"/>
      </w:pPr>
      <w:r>
        <w:t xml:space="preserve">The agreement SHOULD identify the customer and vendor contracts to be assigned.</w:t>
      </w:r>
    </w:p>
    <w:p>
      <w:pPr>
        <w:spacing w:before="0" w:after="120"/>
        <w:ind w:left="540"/>
      </w:pPr>
      <w:r>
        <w:t xml:space="preserve">The schedule covers relevant amendments and orders and is not presumed to include every business contract.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3.2  </w:t>
      </w:r>
      <w:r>
        <w:rPr>
          <w:b/>
        </w:rPr>
        <w:t xml:space="preserve">Track required consents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customer or vendor contracts are involved or platform accounts are involved, review the following safeguard. Otherwise mark it not applicable.</w:t>
      </w:r>
    </w:p>
    <w:p>
      <w:pPr>
        <w:spacing w:before="0" w:after="120"/>
        <w:ind w:left="540"/>
      </w:pPr>
      <w:r>
        <w:t xml:space="preserve">Trace each consent dependency to an owner and evidence of approval or unresolved status.</w:t>
      </w:r>
    </w:p>
    <w:p>
      <w:pPr>
        <w:spacing w:before="0" w:after="120"/>
        <w:ind w:left="540"/>
      </w:pPr>
      <w:r>
        <w:t xml:space="preserve">The agreement SHOULD identify required third-party consents and who is responsible for obtaining them.</w:t>
      </w:r>
    </w:p>
    <w:p>
      <w:pPr>
        <w:spacing w:before="0" w:after="120"/>
        <w:ind w:left="540"/>
      </w:pPr>
      <w:r>
        <w:t xml:space="preserve">Consent effort standard, expense allocation and deadlines are negotiated.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3.3  </w:t>
      </w:r>
      <w:r>
        <w:rPr>
          <w:b/>
        </w:rPr>
        <w:t xml:space="preserve">Resolve unavailable transfers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customer or vendor contracts are involved or platform accounts are involved, review the following safeguard. Otherwise mark it not applicable.</w:t>
      </w:r>
    </w:p>
    <w:p>
      <w:pPr>
        <w:spacing w:before="0" w:after="120"/>
        <w:ind w:left="540"/>
      </w:pPr>
      <w:r>
        <w:t xml:space="preserve">Locate a consequence tied to the affected asset or contract, not only a general cooperation promise.</w:t>
      </w:r>
    </w:p>
    <w:p>
      <w:pPr>
        <w:spacing w:before="0" w:after="120"/>
        <w:ind w:left="540"/>
      </w:pPr>
      <w:r>
        <w:t xml:space="preserve">The agreement SHOULD specify the consequence if a material transfer or consent remains unavailable at closing.</w:t>
      </w:r>
    </w:p>
    <w:p>
      <w:pPr>
        <w:spacing w:before="0" w:after="120"/>
        <w:ind w:left="540"/>
      </w:pPr>
      <w:r>
        <w:t xml:space="preserve">Delay, exclusion, adjustment, termination or a permitted interim arrangement are alternatives; no default selected.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360" w:after="160"/>
      </w:pPr>
      <w:r>
        <w:rPr>
          <w:b/>
          <w:sz w:val="28"/>
          <w:szCs w:val="28"/>
        </w:rPr>
        <w:t xml:space="preserve">4. Price and elections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4.1  </w:t>
      </w:r>
      <w:r>
        <w:rPr>
          <w:b/>
        </w:rPr>
        <w:t xml:space="preserve">State consideration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Reconcile the stated price with cash, noncash, deferred and contingent components.</w:t>
      </w:r>
    </w:p>
    <w:p>
      <w:pPr>
        <w:spacing w:before="0" w:after="120"/>
        <w:ind w:left="540"/>
      </w:pPr>
      <w:r>
        <w:t xml:space="preserve">The agreement SHOULD state the consideration and when and how each component is payable.</w:t>
      </w:r>
    </w:p>
    <w:p>
      <w:pPr>
        <w:spacing w:before="0" w:after="120"/>
        <w:ind w:left="540"/>
      </w:pPr>
      <w:r>
        <w:t xml:space="preserve">No financing mix or payment split is presumed.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4.2  </w:t>
      </w:r>
      <w:r>
        <w:rPr>
          <w:b/>
        </w:rPr>
        <w:t xml:space="preserve">Elect price adjustment</w:t>
      </w:r>
      <w:r>
        <w:t xml:space="preserve"> — Optional (MAY)</w:t>
      </w:r>
    </w:p>
    <w:p>
      <w:pPr>
        <w:spacing w:before="0" w:after="120"/>
        <w:ind w:left="540"/>
      </w:pPr>
      <w:r>
        <w:t xml:space="preserve">Identify an affirmative election; omission is not a defect for this optional feature.</w:t>
      </w:r>
    </w:p>
    <w:p>
      <w:pPr>
        <w:spacing w:before="0" w:after="120"/>
        <w:ind w:left="540"/>
      </w:pPr>
      <w:r>
        <w:t xml:space="preserve">The agreement MAY include a post-closing purchase-price adjustment.</w:t>
      </w:r>
    </w:p>
    <w:p>
      <w:pPr>
        <w:spacing w:before="0" w:after="120"/>
        <w:ind w:left="540"/>
      </w:pPr>
      <w:r>
        <w:t xml:space="preserve">Fixed price and adjustment are legitimate alternatives.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4.3  </w:t>
      </w:r>
      <w:r>
        <w:rPr>
          <w:b/>
        </w:rPr>
        <w:t xml:space="preserve">Define adjustment calculation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a price adjustment is elected, review the following safeguard. Otherwise mark it not applicable.</w:t>
      </w:r>
    </w:p>
    <w:p>
      <w:pPr>
        <w:spacing w:before="0" w:after="120"/>
        <w:ind w:left="540"/>
      </w:pPr>
      <w:r>
        <w:t xml:space="preserve">Recalculate a worked example using the stated inputs and prevent double counting.</w:t>
      </w:r>
    </w:p>
    <w:p>
      <w:pPr>
        <w:spacing w:before="0" w:after="120"/>
        <w:ind w:left="540"/>
      </w:pPr>
      <w:r>
        <w:t xml:space="preserve">The agreement SHOULD define the adjustment formula and accounting conventions.</w:t>
      </w:r>
    </w:p>
    <w:p>
      <w:pPr>
        <w:spacing w:before="0" w:after="120"/>
        <w:ind w:left="540"/>
      </w:pPr>
      <w:r>
        <w:t xml:space="preserve">Working capital, inventory, cash or debt measures are not universal requirements.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4.4  </w:t>
      </w:r>
      <w:r>
        <w:rPr>
          <w:b/>
        </w:rPr>
        <w:t xml:space="preserve">Resolve adjustment disputes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a price adjustment is elected, review the following safeguard. Otherwise mark it not applicable.</w:t>
      </w:r>
    </w:p>
    <w:p>
      <w:pPr>
        <w:spacing w:before="0" w:after="120"/>
        <w:ind w:left="540"/>
      </w:pPr>
      <w:r>
        <w:t xml:space="preserve">Locate delivery deadline, access to records, objection process and decision endpoint.</w:t>
      </w:r>
    </w:p>
    <w:p>
      <w:pPr>
        <w:spacing w:before="0" w:after="120"/>
        <w:ind w:left="540"/>
      </w:pPr>
      <w:r>
        <w:t xml:space="preserve">The agreement SHOULD specify how adjustment statements are reviewed and disputed.</w:t>
      </w:r>
    </w:p>
    <w:p>
      <w:pPr>
        <w:spacing w:before="0" w:after="120"/>
        <w:ind w:left="540"/>
      </w:pPr>
      <w:r>
        <w:t xml:space="preserve">Expert determination and litigation/arbitration routes require deliberate coordination.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4.5  </w:t>
      </w:r>
      <w:r>
        <w:rPr>
          <w:b/>
        </w:rPr>
        <w:t xml:space="preserve">Earnout</w:t>
      </w:r>
      <w:r>
        <w:t xml:space="preserve"> — Optional (MAY)</w:t>
      </w:r>
    </w:p>
    <w:p>
      <w:pPr>
        <w:spacing w:before="0" w:after="120"/>
        <w:ind w:left="540"/>
      </w:pPr>
      <w:r>
        <w:t xml:space="preserve">Identify the contingent-price election; absence is not a failure.</w:t>
      </w:r>
    </w:p>
    <w:p>
      <w:pPr>
        <w:spacing w:before="0" w:after="120"/>
        <w:ind w:left="540"/>
      </w:pPr>
      <w:r>
        <w:t xml:space="preserve">The agreement MAY make part of the price contingent on post-closing performance.</w:t>
      </w:r>
    </w:p>
    <w:p>
      <w:pPr>
        <w:spacing w:before="0" w:after="120"/>
        <w:ind w:left="540"/>
      </w:pPr>
      <w:r>
        <w:t xml:space="preserve">No earnout amount, period or metric is preselected.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4.6  </w:t>
      </w:r>
      <w:r>
        <w:rPr>
          <w:b/>
        </w:rPr>
        <w:t xml:space="preserve">Define earnout measure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an earnout is elected, review the following safeguard. Otherwise mark it not applicable.</w:t>
      </w:r>
    </w:p>
    <w:p>
      <w:pPr>
        <w:spacing w:before="0" w:after="120"/>
        <w:ind w:left="540"/>
      </w:pPr>
      <w:r>
        <w:t xml:space="preserve">Compute a synthetic period from the definition, including inclusions and exclusions.</w:t>
      </w:r>
    </w:p>
    <w:p>
      <w:pPr>
        <w:spacing w:before="0" w:after="120"/>
        <w:ind w:left="540"/>
      </w:pPr>
      <w:r>
        <w:t xml:space="preserve">The agreement SHOULD define the earnout metric, measurement period and calculation method.</w:t>
      </w:r>
    </w:p>
    <w:p>
      <w:pPr>
        <w:spacing w:before="0" w:after="120"/>
        <w:ind w:left="540"/>
      </w:pPr>
      <w:r>
        <w:t xml:space="preserve">Caps, floors and acceleration are choices.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4.7  </w:t>
      </w:r>
      <w:r>
        <w:rPr>
          <w:b/>
        </w:rPr>
        <w:t xml:space="preserve">Define earnout operating covenant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an earnout is elected, review the following safeguard. Otherwise mark it not applicable.</w:t>
      </w:r>
    </w:p>
    <w:p>
      <w:pPr>
        <w:spacing w:before="0" w:after="120"/>
        <w:ind w:left="540"/>
      </w:pPr>
      <w:r>
        <w:t xml:space="preserve">Locate express commitments or an express no-commitment position and evaluate metric interaction.</w:t>
      </w:r>
    </w:p>
    <w:p>
      <w:pPr>
        <w:spacing w:before="0" w:after="120"/>
        <w:ind w:left="540"/>
      </w:pPr>
      <w:r>
        <w:t xml:space="preserve">The agreement SHOULD state the operating commitments, if any, that apply during the earnout period.</w:t>
      </w:r>
    </w:p>
    <w:p>
      <w:pPr>
        <w:spacing w:before="0" w:after="120"/>
        <w:ind w:left="540"/>
      </w:pPr>
      <w:r>
        <w:t xml:space="preserve">This criterion does not call for an express duty to maximize the earnout.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4.8  </w:t>
      </w:r>
      <w:r>
        <w:rPr>
          <w:b/>
        </w:rPr>
        <w:t xml:space="preserve">Provide earnout review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an earnout is elected, review the following safeguard. Otherwise mark it not applicable.</w:t>
      </w:r>
    </w:p>
    <w:p>
      <w:pPr>
        <w:spacing w:before="0" w:after="120"/>
        <w:ind w:left="540"/>
      </w:pPr>
      <w:r>
        <w:t xml:space="preserve">Locate reporting, supporting-record access, objection deadline and resolution mechanism.</w:t>
      </w:r>
    </w:p>
    <w:p>
      <w:pPr>
        <w:spacing w:before="0" w:after="120"/>
        <w:ind w:left="540"/>
      </w:pPr>
      <w:r>
        <w:t xml:space="preserve">The agreement SHOULD specify the seller's process for reviewing and disputing earnout calculations.</w:t>
      </w:r>
    </w:p>
    <w:p>
      <w:pPr>
        <w:spacing w:before="0" w:after="120"/>
        <w:ind w:left="540"/>
      </w:pPr>
      <w:r>
        <w:t xml:space="preserve">Access, confidentiality and independent review are tailored to the deal.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4.9  </w:t>
      </w:r>
      <w:r>
        <w:rPr>
          <w:b/>
        </w:rPr>
        <w:t xml:space="preserve">Elect escrow or holdback</w:t>
      </w:r>
      <w:r>
        <w:t xml:space="preserve"> — Optional (MAY)</w:t>
      </w:r>
    </w:p>
    <w:p>
      <w:pPr>
        <w:spacing w:before="0" w:after="120"/>
        <w:ind w:left="540"/>
      </w:pPr>
      <w:r>
        <w:t xml:space="preserve">Identify whether either mechanism is elected; absence is not a failure.</w:t>
      </w:r>
    </w:p>
    <w:p>
      <w:pPr>
        <w:spacing w:before="0" w:after="120"/>
        <w:ind w:left="540"/>
      </w:pPr>
      <w:r>
        <w:t xml:space="preserve">The agreement MAY reserve part of the price in escrow or as a holdback.</w:t>
      </w:r>
    </w:p>
    <w:p>
      <w:pPr>
        <w:spacing w:before="0" w:after="120"/>
        <w:ind w:left="540"/>
      </w:pPr>
      <w:r>
        <w:t xml:space="preserve">Escrow and buyer-held amounts have different custody risks.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4.10  </w:t>
      </w:r>
      <w:r>
        <w:rPr>
          <w:b/>
        </w:rPr>
        <w:t xml:space="preserve">Define reserve release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a purchase-price escrow or holdback is elected, review the following safeguard. Otherwise mark it not applicable.</w:t>
      </w:r>
    </w:p>
    <w:p>
      <w:pPr>
        <w:spacing w:before="0" w:after="120"/>
        <w:ind w:left="540"/>
      </w:pPr>
      <w:r>
        <w:t xml:space="preserve">Trace an undisputed release and a disputed claim through the mechanism.</w:t>
      </w:r>
    </w:p>
    <w:p>
      <w:pPr>
        <w:spacing w:before="0" w:after="120"/>
        <w:ind w:left="540"/>
      </w:pPr>
      <w:r>
        <w:t xml:space="preserve">The agreement SHOULD define the amount reserved and the conditions and timing for its release.</w:t>
      </w:r>
    </w:p>
    <w:p>
      <w:pPr>
        <w:spacing w:before="0" w:after="120"/>
        <w:ind w:left="540"/>
      </w:pPr>
      <w:r>
        <w:t xml:space="preserve">Custodian, interest, fees and permitted deductions remain negotiated.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360" w:after="160"/>
      </w:pPr>
      <w:r>
        <w:rPr>
          <w:b/>
          <w:sz w:val="28"/>
          <w:szCs w:val="28"/>
        </w:rPr>
        <w:t xml:space="preserve">5. Representations and interim conduct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5.1  </w:t>
      </w:r>
      <w:r>
        <w:rPr>
          <w:b/>
        </w:rPr>
        <w:t xml:space="preserve">Allocate transfer taxes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Identify the taxpayer-cost allocation and any contractual reimbursement duty.</w:t>
      </w:r>
    </w:p>
    <w:p>
      <w:pPr>
        <w:spacing w:before="0" w:after="120"/>
        <w:ind w:left="540"/>
      </w:pPr>
      <w:r>
        <w:t xml:space="preserve">The agreement SHOULD specify which party bears transaction taxes.</w:t>
      </w:r>
    </w:p>
    <w:p>
      <w:pPr>
        <w:spacing w:before="0" w:after="120"/>
        <w:ind w:left="540"/>
      </w:pPr>
      <w:r>
        <w:t xml:space="preserve">Jurisdiction and tax treatment need transaction-specific review; no default chosen.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5.2  </w:t>
      </w:r>
      <w:r>
        <w:rPr>
          <w:b/>
        </w:rPr>
        <w:t xml:space="preserve">Coordinate price allocation reporting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Identify the allocation preparation, review, timing and disagreement process.</w:t>
      </w:r>
    </w:p>
    <w:p>
      <w:pPr>
        <w:spacing w:before="0" w:after="120"/>
        <w:ind w:left="540"/>
      </w:pPr>
      <w:r>
        <w:t xml:space="preserve">The agreement SHOULD specify a process for coordinating purchase-price allocation reporting.</w:t>
      </w:r>
    </w:p>
    <w:p>
      <w:pPr>
        <w:spacing w:before="0" w:after="120"/>
        <w:ind w:left="540"/>
      </w:pPr>
      <w:r>
        <w:t xml:space="preserve">Jurisdiction and tax treatment need transaction-specific review; no default chosen.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5.3  </w:t>
      </w:r>
      <w:r>
        <w:rPr>
          <w:b/>
        </w:rPr>
        <w:t xml:space="preserve">Represent authority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Check party capacity and approvals against the promised obligations.</w:t>
      </w:r>
    </w:p>
    <w:p>
      <w:pPr>
        <w:spacing w:before="0" w:after="120"/>
        <w:ind w:left="540"/>
      </w:pPr>
      <w:r>
        <w:t xml:space="preserve">The agreement SHOULD include each party's statement of authority to enter and perform the transaction.</w:t>
      </w:r>
    </w:p>
    <w:p>
      <w:pPr>
        <w:spacing w:before="0" w:after="120"/>
        <w:ind w:left="540"/>
      </w:pPr>
      <w:r>
        <w:t xml:space="preserve">Scope differs for entities and individuals.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5.4  </w:t>
      </w:r>
      <w:r>
        <w:rPr>
          <w:b/>
        </w:rPr>
        <w:t xml:space="preserve">Represent title and liens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Locate title statement, disclosed encumbrances and any release commitments.</w:t>
      </w:r>
    </w:p>
    <w:p>
      <w:pPr>
        <w:spacing w:before="0" w:after="120"/>
        <w:ind w:left="540"/>
      </w:pPr>
      <w:r>
        <w:t xml:space="preserve">The agreement SHOULD state the seller's ownership and lien position for the purchased assets.</w:t>
      </w:r>
    </w:p>
    <w:p>
      <w:pPr>
        <w:spacing w:before="0" w:after="120"/>
        <w:ind w:left="540"/>
      </w:pPr>
      <w:r>
        <w:t xml:space="preserve">Permitted encumbrances and lien-release conditions are negotiated.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5.5  </w:t>
      </w:r>
      <w:r>
        <w:rPr>
          <w:b/>
        </w:rPr>
        <w:t xml:space="preserve">Disclose material business disputes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Locate dispute scope and disclosure record; distinguish actual knowledge from absolute assurance.</w:t>
      </w:r>
    </w:p>
    <w:p>
      <w:pPr>
        <w:spacing w:before="0" w:after="120"/>
        <w:ind w:left="540"/>
      </w:pPr>
      <w:r>
        <w:t xml:space="preserve">The agreement SHOULD require disclosure of material pending or threatened disputes affecting the transferred business.</w:t>
      </w:r>
    </w:p>
    <w:p>
      <w:pPr>
        <w:spacing w:before="0" w:after="120"/>
        <w:ind w:left="540"/>
      </w:pPr>
      <w:r>
        <w:t xml:space="preserve">Knowledge, materiality and lookback are choices.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5.6  </w:t>
      </w:r>
      <w:r>
        <w:rPr>
          <w:b/>
        </w:rPr>
        <w:t xml:space="preserve">Coordinate disclosure schedules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Trace each exception to the representation it qualifies.</w:t>
      </w:r>
    </w:p>
    <w:p>
      <w:pPr>
        <w:spacing w:before="0" w:after="120"/>
        <w:ind w:left="540"/>
      </w:pPr>
      <w:r>
        <w:t xml:space="preserve">The agreement SHOULD link exceptions to representations to identifiable disclosure-schedule entries.</w:t>
      </w:r>
    </w:p>
    <w:p>
      <w:pPr>
        <w:spacing w:before="0" w:after="120"/>
        <w:ind w:left="540"/>
      </w:pPr>
      <w:r>
        <w:t xml:space="preserve">If cross-disclosure is used, its effect is stated.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5.7  </w:t>
      </w:r>
      <w:r>
        <w:rPr>
          <w:b/>
        </w:rPr>
        <w:t xml:space="preserve">Preserve business before closing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signing precedes closing, review the following safeguard. Otherwise mark it not applicable.</w:t>
      </w:r>
    </w:p>
    <w:p>
      <w:pPr>
        <w:spacing w:before="0" w:after="120"/>
        <w:ind w:left="540"/>
      </w:pPr>
      <w:r>
        <w:t xml:space="preserve">Locate commitments addressing material changes to the business being acquired.</w:t>
      </w:r>
    </w:p>
    <w:p>
      <w:pPr>
        <w:spacing w:before="0" w:after="120"/>
        <w:ind w:left="540"/>
      </w:pPr>
      <w:r>
        <w:t xml:space="preserve">The agreement SHOULD specify the seller's operating commitments between signing and closing.</w:t>
      </w:r>
    </w:p>
    <w:p>
      <w:pPr>
        <w:spacing w:before="0" w:after="120"/>
        <w:ind w:left="540"/>
      </w:pPr>
      <w:r>
        <w:t xml:space="preserve">Ordinary-course standard, exceptions and purchaser-consent process require negotiation.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360" w:after="160"/>
      </w:pPr>
      <w:r>
        <w:rPr>
          <w:b/>
          <w:sz w:val="28"/>
          <w:szCs w:val="28"/>
        </w:rPr>
        <w:t xml:space="preserve">6. Closing and transition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6.1  </w:t>
      </w:r>
      <w:r>
        <w:rPr>
          <w:b/>
        </w:rPr>
        <w:t xml:space="preserve">Define closing mechanics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Trace payment and conveyance sequencing to a defined closing event.</w:t>
      </w:r>
    </w:p>
    <w:p>
      <w:pPr>
        <w:spacing w:before="0" w:after="120"/>
        <w:ind w:left="540"/>
      </w:pPr>
      <w:r>
        <w:t xml:space="preserve">The agreement SHOULD state the closing process and the event at which the parties exchange performance.</w:t>
      </w:r>
    </w:p>
    <w:p>
      <w:pPr>
        <w:spacing w:before="0" w:after="120"/>
        <w:ind w:left="540"/>
      </w:pPr>
      <w:r>
        <w:t xml:space="preserve">Simultaneous exchange, escrow closing and transfers in stages are alternatives.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6.2  </w:t>
      </w:r>
      <w:r>
        <w:rPr>
          <w:b/>
        </w:rPr>
        <w:t xml:space="preserve">Specify closing conditions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signing precedes closing, review the following safeguard. Otherwise mark it not applicable.</w:t>
      </w:r>
    </w:p>
    <w:p>
      <w:pPr>
        <w:spacing w:before="0" w:after="120"/>
        <w:ind w:left="540"/>
      </w:pPr>
      <w:r>
        <w:t xml:space="preserve">Match each condition to the entitled party, satisfaction evidence and waiver process.</w:t>
      </w:r>
    </w:p>
    <w:p>
      <w:pPr>
        <w:spacing w:before="0" w:after="120"/>
        <w:ind w:left="540"/>
      </w:pPr>
      <w:r>
        <w:t xml:space="preserve">The agreement SHOULD identify the conditions to each party's obligation to close.</w:t>
      </w:r>
    </w:p>
    <w:p>
      <w:pPr>
        <w:spacing w:before="0" w:after="120"/>
        <w:ind w:left="540"/>
      </w:pPr>
      <w:r>
        <w:t xml:space="preserve">Financing, material adverse change and diligence conditions are not automatic.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6.3  </w:t>
      </w:r>
      <w:r>
        <w:rPr>
          <w:b/>
        </w:rPr>
        <w:t xml:space="preserve">Complete closing deliverables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Reconcile the deliverable list with transfer instruments, approvals, releases and payment documents actually required by the deal.</w:t>
      </w:r>
    </w:p>
    <w:p>
      <w:pPr>
        <w:spacing w:before="0" w:after="120"/>
        <w:ind w:left="540"/>
      </w:pPr>
      <w:r>
        <w:t xml:space="preserve">The agreement SHOULD identify each closing deliverable and the party responsible for providing it.</w:t>
      </w:r>
    </w:p>
    <w:p>
      <w:pPr>
        <w:spacing w:before="0" w:after="120"/>
        <w:ind w:left="540"/>
      </w:pPr>
      <w:r>
        <w:t xml:space="preserve">A deliverable is conditional on the corresponding asset, liability or election.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6.4  </w:t>
      </w:r>
      <w:r>
        <w:rPr>
          <w:b/>
        </w:rPr>
        <w:t xml:space="preserve">Elect transition support</w:t>
      </w:r>
      <w:r>
        <w:t xml:space="preserve"> — Optional (MAY)</w:t>
      </w:r>
    </w:p>
    <w:p>
      <w:pPr>
        <w:spacing w:before="0" w:after="120"/>
        <w:ind w:left="540"/>
      </w:pPr>
      <w:r>
        <w:t xml:space="preserve">Identify the election; no support obligation is inferred from silence.</w:t>
      </w:r>
    </w:p>
    <w:p>
      <w:pPr>
        <w:spacing w:before="0" w:after="120"/>
        <w:ind w:left="540"/>
      </w:pPr>
      <w:r>
        <w:t xml:space="preserve">The agreement MAY require the seller to provide post-closing transition services.</w:t>
      </w:r>
    </w:p>
    <w:p>
      <w:pPr>
        <w:spacing w:before="0" w:after="120"/>
        <w:ind w:left="540"/>
      </w:pPr>
      <w:r>
        <w:t xml:space="preserve">No fixed hours, term or fee is presumed.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6.5  </w:t>
      </w:r>
      <w:r>
        <w:rPr>
          <w:b/>
        </w:rPr>
        <w:t xml:space="preserve">Define transition service scope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transition support is elected, review the following safeguard. Otherwise mark it not applicable.</w:t>
      </w:r>
    </w:p>
    <w:p>
      <w:pPr>
        <w:spacing w:before="0" w:after="120"/>
        <w:ind w:left="540"/>
      </w:pPr>
      <w:r>
        <w:t xml:space="preserve">Locate deliverables, service boundaries, end date and payment rule.</w:t>
      </w:r>
    </w:p>
    <w:p>
      <w:pPr>
        <w:spacing w:before="0" w:after="120"/>
        <w:ind w:left="540"/>
      </w:pPr>
      <w:r>
        <w:t xml:space="preserve">The agreement SHOULD specify the tasks, duration and compensation for transition services.</w:t>
      </w:r>
    </w:p>
    <w:p>
      <w:pPr>
        <w:spacing w:before="0" w:after="120"/>
        <w:ind w:left="540"/>
      </w:pPr>
      <w:r>
        <w:t xml:space="preserve">Named personnel appear only where agreed and available.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6.6  </w:t>
      </w:r>
      <w:r>
        <w:rPr>
          <w:b/>
        </w:rPr>
        <w:t xml:space="preserve">Provide further assurances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Locate limits, expense responsibility and an endpoint or objective completion standard.</w:t>
      </w:r>
    </w:p>
    <w:p>
      <w:pPr>
        <w:spacing w:before="0" w:after="120"/>
        <w:ind w:left="540"/>
      </w:pPr>
      <w:r>
        <w:t xml:space="preserve">The agreement SHOULD specify reasonable post-closing cooperation to complete agreed transfers.</w:t>
      </w:r>
    </w:p>
    <w:p>
      <w:pPr>
        <w:spacing w:before="0" w:after="120"/>
        <w:ind w:left="540"/>
      </w:pPr>
      <w:r>
        <w:t xml:space="preserve">This does not substitute for required third-party permission.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360" w:after="160"/>
      </w:pPr>
      <w:r>
        <w:rPr>
          <w:b/>
          <w:sz w:val="28"/>
          <w:szCs w:val="28"/>
        </w:rPr>
        <w:t xml:space="preserve">7. Remedies and general terms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7.1  </w:t>
      </w:r>
      <w:r>
        <w:rPr>
          <w:b/>
        </w:rPr>
        <w:t xml:space="preserve">Define preclosing termination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signing precedes closing, review the following safeguard. Otherwise mark it not applicable.</w:t>
      </w:r>
    </w:p>
    <w:p>
      <w:pPr>
        <w:spacing w:before="0" w:after="120"/>
        <w:ind w:left="540"/>
      </w:pPr>
      <w:r>
        <w:t xml:space="preserve">Trace outside date, breach and failed-condition scenarios to an eligible party and consequence.</w:t>
      </w:r>
    </w:p>
    <w:p>
      <w:pPr>
        <w:spacing w:before="0" w:after="120"/>
        <w:ind w:left="540"/>
      </w:pPr>
      <w:r>
        <w:t xml:space="preserve">The agreement SHOULD identify termination rights and their consequences before closing.</w:t>
      </w:r>
    </w:p>
    <w:p>
      <w:pPr>
        <w:spacing w:before="0" w:after="120"/>
        <w:ind w:left="540"/>
      </w:pPr>
      <w:r>
        <w:t xml:space="preserve">Cure periods, deposits and surviving duties are choices.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7.2  </w:t>
      </w:r>
      <w:r>
        <w:rPr>
          <w:b/>
        </w:rPr>
        <w:t xml:space="preserve">Elect indemnification</w:t>
      </w:r>
      <w:r>
        <w:t xml:space="preserve"> — Optional (MAY)</w:t>
      </w:r>
    </w:p>
    <w:p>
      <w:pPr>
        <w:spacing w:before="0" w:after="120"/>
        <w:ind w:left="540"/>
      </w:pPr>
      <w:r>
        <w:t xml:space="preserve">Identify election and covered subjects; absence is not a failure of this optional mechanism.</w:t>
      </w:r>
    </w:p>
    <w:p>
      <w:pPr>
        <w:spacing w:before="0" w:after="120"/>
        <w:ind w:left="540"/>
      </w:pPr>
      <w:r>
        <w:t xml:space="preserve">The agreement MAY provide contractual indemnification for identified losses.</w:t>
      </w:r>
    </w:p>
    <w:p>
      <w:pPr>
        <w:spacing w:before="0" w:after="120"/>
        <w:ind w:left="540"/>
      </w:pPr>
      <w:r>
        <w:t xml:space="preserve">Other contractual remedies require separate review; no universal indemnity is prescribed.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7.3  </w:t>
      </w:r>
      <w:r>
        <w:rPr>
          <w:b/>
        </w:rPr>
        <w:t xml:space="preserve">Define indemnity allocation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indemnification is elected, review the following safeguard. Otherwise mark it not applicable.</w:t>
      </w:r>
    </w:p>
    <w:p>
      <w:pPr>
        <w:spacing w:before="0" w:after="120"/>
        <w:ind w:left="540"/>
      </w:pPr>
      <w:r>
        <w:t xml:space="preserve">Trace breach, assumed-liability and retained-liability examples to the correct indemnitor.</w:t>
      </w:r>
    </w:p>
    <w:p>
      <w:pPr>
        <w:spacing w:before="0" w:after="120"/>
        <w:ind w:left="540"/>
      </w:pPr>
      <w:r>
        <w:t xml:space="preserve">The agreement SHOULD identify the indemnifying party, protected party and covered claim categories.</w:t>
      </w:r>
    </w:p>
    <w:p>
      <w:pPr>
        <w:spacing w:before="0" w:after="120"/>
        <w:ind w:left="540"/>
      </w:pPr>
      <w:r>
        <w:t xml:space="preserve">Covered categories and exclusions remain negotiated.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7.4  </w:t>
      </w:r>
      <w:r>
        <w:rPr>
          <w:b/>
        </w:rPr>
        <w:t xml:space="preserve">Define indemnity claims process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indemnification is elected, review the following safeguard. Otherwise mark it not applicable.</w:t>
      </w:r>
    </w:p>
    <w:p>
      <w:pPr>
        <w:spacing w:before="0" w:after="120"/>
        <w:ind w:left="540"/>
      </w:pPr>
      <w:r>
        <w:t xml:space="preserve">Locate notice, defense control, settlement consent and payment mechanics.</w:t>
      </w:r>
    </w:p>
    <w:p>
      <w:pPr>
        <w:spacing w:before="0" w:after="120"/>
        <w:ind w:left="540"/>
      </w:pPr>
      <w:r>
        <w:t xml:space="preserve">The agreement SHOULD specify the procedure for direct and third-party indemnity claims.</w:t>
      </w:r>
    </w:p>
    <w:p>
      <w:pPr>
        <w:spacing w:before="0" w:after="120"/>
        <w:ind w:left="540"/>
      </w:pPr>
      <w:r>
        <w:t xml:space="preserve">The effect of late notice is defined rather than assumed to be automatic forfeiture.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7.5  </w:t>
      </w:r>
      <w:r>
        <w:rPr>
          <w:b/>
        </w:rPr>
        <w:t xml:space="preserve">Address claim survival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Trace a timely and a late claim separately for each claim category.</w:t>
      </w:r>
    </w:p>
    <w:p>
      <w:pPr>
        <w:spacing w:before="0" w:after="120"/>
        <w:ind w:left="540"/>
      </w:pPr>
      <w:r>
        <w:t xml:space="preserve">The agreement SHOULD state any agreed survival periods or contractual claim deadlines.</w:t>
      </w:r>
    </w:p>
    <w:p>
      <w:pPr>
        <w:spacing w:before="0" w:after="120"/>
        <w:ind w:left="540"/>
      </w:pPr>
      <w:r>
        <w:t xml:space="preserve">An express choice to impose no contractual deadline is assessable; counsel reviews legal limits.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7.6  </w:t>
      </w:r>
      <w:r>
        <w:rPr>
          <w:b/>
        </w:rPr>
        <w:t xml:space="preserve">Address liability caps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Apply a claim above the stated cap and identify category-specific exceptions.</w:t>
      </w:r>
    </w:p>
    <w:p>
      <w:pPr>
        <w:spacing w:before="0" w:after="120"/>
        <w:ind w:left="540"/>
      </w:pPr>
      <w:r>
        <w:t xml:space="preserve">The agreement SHOULD state whether contractual recovery is capped and identify any selected cap.</w:t>
      </w:r>
    </w:p>
    <w:p>
      <w:pPr>
        <w:spacing w:before="0" w:after="120"/>
        <w:ind w:left="540"/>
      </w:pPr>
      <w:r>
        <w:t xml:space="preserve">No monetary limit, percentage or uncapped category is preselected.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7.7  </w:t>
      </w:r>
      <w:r>
        <w:rPr>
          <w:b/>
        </w:rPr>
        <w:t xml:space="preserve">Address indemnity thresholds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indemnification is elected, review the following safeguard. Otherwise mark it not applicable.</w:t>
      </w:r>
    </w:p>
    <w:p>
      <w:pPr>
        <w:spacing w:before="0" w:after="120"/>
        <w:ind w:left="540"/>
      </w:pPr>
      <w:r>
        <w:t xml:space="preserve">Distinguish deductible and tipping mechanics using a synthetic claim.</w:t>
      </w:r>
    </w:p>
    <w:p>
      <w:pPr>
        <w:spacing w:before="0" w:after="120"/>
        <w:ind w:left="540"/>
      </w:pPr>
      <w:r>
        <w:t xml:space="preserve">The agreement SHOULD state whether indemnity recovery is subject to a threshold and how any selected threshold operates.</w:t>
      </w:r>
    </w:p>
    <w:p>
      <w:pPr>
        <w:spacing w:before="0" w:after="120"/>
        <w:ind w:left="540"/>
      </w:pPr>
      <w:r>
        <w:t xml:space="preserve">No basket or de minimis amount is prescribed.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7.8  </w:t>
      </w:r>
      <w:r>
        <w:rPr>
          <w:b/>
        </w:rPr>
        <w:t xml:space="preserve">Address remedy exclusivity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Trace a contractual breach to the remedies preserved or excluded.</w:t>
      </w:r>
    </w:p>
    <w:p>
      <w:pPr>
        <w:spacing w:before="0" w:after="120"/>
        <w:ind w:left="540"/>
      </w:pPr>
      <w:r>
        <w:t xml:space="preserve">The agreement SHOULD state whether an agreed remedy is exclusive and identify any exceptions.</w:t>
      </w:r>
    </w:p>
    <w:p>
      <w:pPr>
        <w:spacing w:before="0" w:after="120"/>
        <w:ind w:left="540"/>
      </w:pPr>
      <w:r>
        <w:t xml:space="preserve">Specific performance and equitable relief remain separate review questions.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7.9  </w:t>
      </w:r>
      <w:r>
        <w:rPr>
          <w:b/>
        </w:rPr>
        <w:t xml:space="preserve">Address fraud treatment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Identify relevant actors, statements and limitation exceptions without assuming enforceability.</w:t>
      </w:r>
    </w:p>
    <w:p>
      <w:pPr>
        <w:spacing w:before="0" w:after="120"/>
        <w:ind w:left="540"/>
      </w:pPr>
      <w:r>
        <w:t xml:space="preserve">The agreement SHOULD state the intended treatment of fraud in the agreed remedy limitations.</w:t>
      </w:r>
    </w:p>
    <w:p>
      <w:pPr>
        <w:spacing w:before="0" w:after="120"/>
        <w:ind w:left="540"/>
      </w:pPr>
      <w:r>
        <w:t xml:space="preserve">Counsel must assess the definition and enforceability under applicable law; no legal safe harbor is asserted.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7.10  </w:t>
      </w:r>
      <w:r>
        <w:rPr>
          <w:b/>
        </w:rPr>
        <w:t xml:space="preserve">Address setoff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price payments are deferred or an earnout is elected, review the following safeguard. Otherwise mark it not applicable.</w:t>
      </w:r>
    </w:p>
    <w:p>
      <w:pPr>
        <w:spacing w:before="0" w:after="120"/>
        <w:ind w:left="540"/>
      </w:pPr>
      <w:r>
        <w:t xml:space="preserve">Trace a disputed claim against an installment or earnout payment.</w:t>
      </w:r>
    </w:p>
    <w:p>
      <w:pPr>
        <w:spacing w:before="0" w:after="120"/>
        <w:ind w:left="540"/>
      </w:pPr>
      <w:r>
        <w:t xml:space="preserve">The agreement SHOULD state whether claims may be set off against unpaid consideration.</w:t>
      </w:r>
    </w:p>
    <w:p>
      <w:pPr>
        <w:spacing w:before="0" w:after="120"/>
        <w:ind w:left="540"/>
      </w:pPr>
      <w:r>
        <w:t xml:space="preserve">Consent, claim determination and dispute-reserve rules are choices.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7.11  </w:t>
      </w:r>
      <w:r>
        <w:rPr>
          <w:b/>
        </w:rPr>
        <w:t xml:space="preserve">Elect restrictive covenants</w:t>
      </w:r>
      <w:r>
        <w:t xml:space="preserve"> — Optional (MAY)</w:t>
      </w:r>
    </w:p>
    <w:p>
      <w:pPr>
        <w:spacing w:before="0" w:after="120"/>
        <w:ind w:left="540"/>
      </w:pPr>
      <w:r>
        <w:t xml:space="preserve">Identify election without treating covenant presence as evidence of enforceability.</w:t>
      </w:r>
    </w:p>
    <w:p>
      <w:pPr>
        <w:spacing w:before="0" w:after="120"/>
        <w:ind w:left="540"/>
      </w:pPr>
      <w:r>
        <w:t xml:space="preserve">The agreement MAY include a separately reviewed sale-related restrictive covenant.</w:t>
      </w:r>
    </w:p>
    <w:p>
      <w:pPr>
        <w:spacing w:before="0" w:after="120"/>
        <w:ind w:left="540"/>
      </w:pPr>
      <w:r>
        <w:t xml:space="preserve">Scope, duration, territory and permitted activities require jurisdiction-specific analysis; no employment rule is imported.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7.12  </w:t>
      </w:r>
      <w:r>
        <w:rPr>
          <w:b/>
        </w:rPr>
        <w:t xml:space="preserve">Protect transaction confidentiality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Locate permitted disclosures and survival treatment or identify a controlling separate agreement.</w:t>
      </w:r>
    </w:p>
    <w:p>
      <w:pPr>
        <w:spacing w:before="0" w:after="120"/>
        <w:ind w:left="540"/>
      </w:pPr>
      <w:r>
        <w:t xml:space="preserve">The agreement SHOULD allocate confidentiality and permitted announcement responsibilities for transaction information.</w:t>
      </w:r>
    </w:p>
    <w:p>
      <w:pPr>
        <w:spacing w:before="0" w:after="120"/>
        <w:ind w:left="540"/>
      </w:pPr>
      <w:r>
        <w:t xml:space="preserve">Disclosures to advisers, providers and customers are coordinated.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7.13  </w:t>
      </w:r>
      <w:r>
        <w:rPr>
          <w:b/>
        </w:rPr>
        <w:t xml:space="preserve">Select governing law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Locate a definite governing-law selection.</w:t>
      </w:r>
    </w:p>
    <w:p>
      <w:pPr>
        <w:spacing w:before="0" w:after="120"/>
        <w:ind w:left="540"/>
      </w:pPr>
      <w:r>
        <w:t xml:space="preserve">The agreement SHOULD identify the chosen governing law.</w:t>
      </w:r>
    </w:p>
    <w:p>
      <w:pPr>
        <w:spacing w:before="0" w:after="120"/>
        <w:ind w:left="540"/>
      </w:pPr>
      <w:r>
        <w:t xml:space="preserve">Counsel reviews conflicts and mandatory rules separately.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7.14  </w:t>
      </w:r>
      <w:r>
        <w:rPr>
          <w:b/>
        </w:rPr>
        <w:t xml:space="preserve">Select dispute process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Reconcile general disputes with adjustment, earnout and urgent-relief mechanisms.</w:t>
      </w:r>
    </w:p>
    <w:p>
      <w:pPr>
        <w:spacing w:before="0" w:after="120"/>
        <w:ind w:left="540"/>
      </w:pPr>
      <w:r>
        <w:t xml:space="preserve">The agreement SHOULD specify the process and forum for resolving contractual disputes.</w:t>
      </w:r>
    </w:p>
    <w:p>
      <w:pPr>
        <w:spacing w:before="0" w:after="120"/>
        <w:ind w:left="540"/>
      </w:pPr>
      <w:r>
        <w:t xml:space="preserve">Court and arbitration are alternatives, not a ranked default.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7.15  </w:t>
      </w:r>
      <w:r>
        <w:rPr>
          <w:b/>
        </w:rPr>
        <w:t xml:space="preserve">Define notices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Test a claim or termination notice against recipient, method and receipt rule.</w:t>
      </w:r>
    </w:p>
    <w:p>
      <w:pPr>
        <w:spacing w:before="0" w:after="120"/>
        <w:ind w:left="540"/>
      </w:pPr>
      <w:r>
        <w:t xml:space="preserve">The agreement SHOULD specify how contractual notices are delivered and when they become effective.</w:t>
      </w:r>
    </w:p>
    <w:p>
      <w:pPr>
        <w:spacing w:before="0" w:after="120"/>
        <w:ind w:left="540"/>
      </w:pPr>
      <w:r>
        <w:t xml:space="preserve">Business email and formal notice addresses may differ.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7.16  </w:t>
      </w:r>
      <w:r>
        <w:rPr>
          <w:b/>
        </w:rPr>
        <w:t xml:space="preserve">Resolve document priority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Trace an inconsistency to a stated controlling instrument or resolution rule.</w:t>
      </w:r>
    </w:p>
    <w:p>
      <w:pPr>
        <w:spacing w:before="0" w:after="120"/>
        <w:ind w:left="540"/>
      </w:pPr>
      <w:r>
        <w:t xml:space="preserve">The agreement SHOULD resolve priority among the agreement, schedules and ancillary transaction documents.</w:t>
      </w:r>
    </w:p>
    <w:p>
      <w:pPr>
        <w:spacing w:before="0" w:after="120"/>
        <w:ind w:left="540"/>
      </w:pPr>
      <w:r>
        <w:t xml:space="preserve">Entire-agreement and amendment provisions fit the actual document package.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spacing w:before="360" w:after="0"/>
      </w:pPr>
      <w:r>
        <w:rPr>
          <w:color w:val="666666"/>
          <w:sz w:val="16"/>
          <w:szCs w:val="16"/>
        </w:rPr>
        <w:t xml:space="preserve">Steven Obiajulu, J.D. edits this reviewer checklist for General asset-sale core coverage. It synthesizes legal sources and is not legal advice. This article is for informational purposes only and does not create an attorney-client relationship.</w:t>
      </w:r>
    </w:p>
    <w:sectPr>
      <w:pgSz w:w="12240" w:h="15840"/>
      <w:pgMar w:top="1440" w:right="1440" w:bottom="144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szCs w:val="22"/>
      </w:rPr>
    </w:rPrDefault>
    <w:pPrDefault>
      <w:pPr>
        <w:spacing w:after="120" w:line="276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